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theme="minorBidi"/>
          <w:sz w:val="32"/>
          <w:szCs w:val="32"/>
        </w:rPr>
      </w:pPr>
      <w:r>
        <w:rPr>
          <w:rFonts w:hint="eastAsia" w:ascii="黑体" w:hAnsi="黑体" w:eastAsia="黑体" w:cstheme="minorBidi"/>
          <w:sz w:val="32"/>
          <w:szCs w:val="32"/>
        </w:rPr>
        <w:t>成都信息工程大学（中国）—威尔士三一圣大卫大学（英国）</w:t>
      </w:r>
    </w:p>
    <w:p>
      <w:pPr>
        <w:jc w:val="center"/>
        <w:rPr>
          <w:rFonts w:hint="eastAsia" w:ascii="黑体" w:hAnsi="黑体" w:eastAsia="黑体" w:cstheme="minorBidi"/>
          <w:sz w:val="32"/>
          <w:szCs w:val="32"/>
        </w:rPr>
      </w:pPr>
      <w:r>
        <w:rPr>
          <w:rFonts w:hint="eastAsia" w:ascii="黑体" w:hAnsi="黑体" w:eastAsia="黑体" w:cstheme="minorBidi"/>
          <w:sz w:val="32"/>
          <w:szCs w:val="32"/>
        </w:rPr>
        <w:t>合作培养管理学博士项目招生简章</w:t>
      </w:r>
    </w:p>
    <w:p>
      <w:pPr>
        <w:spacing w:line="500" w:lineRule="exact"/>
        <w:rPr>
          <w:rFonts w:ascii="宋体" w:hAnsi="宋体"/>
          <w:sz w:val="28"/>
          <w:szCs w:val="28"/>
        </w:rPr>
      </w:pPr>
    </w:p>
    <w:p>
      <w:pPr>
        <w:spacing w:after="156" w:afterLines="50" w:line="460" w:lineRule="exact"/>
        <w:ind w:firstLine="422" w:firstLineChars="150"/>
        <w:rPr>
          <w:rFonts w:ascii="宋体" w:hAnsi="宋体"/>
          <w:b/>
          <w:color w:val="auto"/>
          <w:sz w:val="28"/>
          <w:szCs w:val="28"/>
        </w:rPr>
      </w:pPr>
      <w:r>
        <w:rPr>
          <w:rFonts w:hint="eastAsia" w:ascii="宋体" w:hAnsi="宋体"/>
          <w:b/>
          <w:color w:val="auto"/>
          <w:sz w:val="28"/>
          <w:szCs w:val="28"/>
        </w:rPr>
        <w:t>一、项目简介</w:t>
      </w:r>
    </w:p>
    <w:p>
      <w:pPr>
        <w:spacing w:line="440" w:lineRule="exact"/>
        <w:ind w:firstLine="480" w:firstLineChars="200"/>
        <w:rPr>
          <w:rFonts w:hint="eastAsia" w:ascii="Times New Roman" w:hAnsi="Times New Roman" w:cs="Times New Roman"/>
          <w:color w:val="auto"/>
          <w:sz w:val="24"/>
          <w:szCs w:val="24"/>
        </w:rPr>
      </w:pPr>
      <w:r>
        <w:rPr>
          <w:rFonts w:ascii="Times New Roman" w:hAnsi="Times New Roman" w:cs="Times New Roman"/>
          <w:color w:val="auto"/>
          <w:sz w:val="24"/>
          <w:szCs w:val="24"/>
        </w:rPr>
        <w:t>建设教育强国是中华</w:t>
      </w:r>
      <w:r>
        <w:rPr>
          <w:rFonts w:hint="eastAsia" w:ascii="Times New Roman" w:hAnsi="Times New Roman" w:cs="Times New Roman"/>
          <w:color w:val="auto"/>
          <w:sz w:val="24"/>
          <w:szCs w:val="24"/>
          <w:lang w:eastAsia="zh-CN"/>
        </w:rPr>
        <w:t>民</w:t>
      </w:r>
      <w:r>
        <w:rPr>
          <w:rFonts w:ascii="Times New Roman" w:hAnsi="Times New Roman" w:cs="Times New Roman"/>
          <w:color w:val="auto"/>
          <w:sz w:val="24"/>
          <w:szCs w:val="24"/>
        </w:rPr>
        <w:t>族伟大复兴的基础工程，为集中英两国的优质教育资源、产业资源和科技资源，推动大学高层次的国际合作，促进学校内涵式发展，</w:t>
      </w:r>
      <w:r>
        <w:rPr>
          <w:rFonts w:hint="eastAsia" w:ascii="宋体" w:hAnsi="宋体"/>
          <w:color w:val="auto"/>
          <w:sz w:val="24"/>
          <w:szCs w:val="24"/>
        </w:rPr>
        <w:t>致力于为社会培养</w:t>
      </w:r>
      <w:r>
        <w:rPr>
          <w:rFonts w:ascii="Times New Roman" w:hAnsi="Times New Roman" w:cs="Times New Roman"/>
          <w:color w:val="auto"/>
          <w:sz w:val="24"/>
          <w:szCs w:val="24"/>
        </w:rPr>
        <w:t>具有国际先进视野和国际</w:t>
      </w:r>
      <w:r>
        <w:rPr>
          <w:rFonts w:hint="eastAsia" w:ascii="Times New Roman" w:hAnsi="Times New Roman" w:cs="Times New Roman"/>
          <w:color w:val="auto"/>
          <w:sz w:val="24"/>
          <w:szCs w:val="24"/>
        </w:rPr>
        <w:t>化管理能力</w:t>
      </w:r>
      <w:r>
        <w:rPr>
          <w:rFonts w:hint="eastAsia" w:ascii="宋体" w:hAnsi="宋体"/>
          <w:color w:val="auto"/>
          <w:sz w:val="24"/>
          <w:szCs w:val="24"/>
        </w:rPr>
        <w:t>的</w:t>
      </w:r>
      <w:r>
        <w:rPr>
          <w:rFonts w:ascii="Times New Roman" w:hAnsi="Times New Roman" w:cs="Times New Roman"/>
          <w:color w:val="auto"/>
          <w:sz w:val="24"/>
          <w:szCs w:val="24"/>
        </w:rPr>
        <w:t>高层次、复合型</w:t>
      </w:r>
      <w:r>
        <w:rPr>
          <w:rFonts w:hint="eastAsia" w:ascii="Times New Roman" w:hAnsi="Times New Roman" w:cs="Times New Roman"/>
          <w:color w:val="auto"/>
          <w:sz w:val="24"/>
          <w:szCs w:val="24"/>
        </w:rPr>
        <w:t>管理</w:t>
      </w:r>
      <w:r>
        <w:rPr>
          <w:rFonts w:ascii="Times New Roman" w:hAnsi="Times New Roman" w:cs="Times New Roman"/>
          <w:color w:val="auto"/>
          <w:sz w:val="24"/>
          <w:szCs w:val="24"/>
        </w:rPr>
        <w:t>人才，</w:t>
      </w:r>
      <w:r>
        <w:rPr>
          <w:rFonts w:hint="eastAsia"/>
          <w:color w:val="auto"/>
          <w:sz w:val="24"/>
          <w:szCs w:val="24"/>
        </w:rPr>
        <w:t>成都信息工程大学与英国</w:t>
      </w:r>
      <w:r>
        <w:rPr>
          <w:rFonts w:hint="eastAsia" w:ascii="宋体" w:hAnsi="宋体"/>
          <w:color w:val="auto"/>
          <w:sz w:val="24"/>
          <w:szCs w:val="24"/>
        </w:rPr>
        <w:t>威尔士三一圣大卫大学(</w:t>
      </w:r>
      <w:r>
        <w:rPr>
          <w:rFonts w:ascii="宋体" w:hAnsi="宋体"/>
          <w:color w:val="auto"/>
          <w:sz w:val="24"/>
          <w:szCs w:val="24"/>
        </w:rPr>
        <w:t>University of Wales Trinity Saint David，</w:t>
      </w:r>
      <w:r>
        <w:rPr>
          <w:rFonts w:hint="eastAsia" w:ascii="宋体" w:hAnsi="宋体"/>
          <w:color w:val="auto"/>
          <w:sz w:val="24"/>
          <w:szCs w:val="24"/>
        </w:rPr>
        <w:t>UWTSD)</w:t>
      </w:r>
      <w:r>
        <w:rPr>
          <w:rFonts w:ascii="Times New Roman" w:hAnsi="Times New Roman" w:cs="Times New Roman"/>
          <w:color w:val="auto"/>
          <w:sz w:val="24"/>
          <w:szCs w:val="24"/>
        </w:rPr>
        <w:t xml:space="preserve"> 开展管理学博士合作培养项目。本项目采用国际通行的培养模式，达到毕业要求、完成论文答辩并合格后，由威尔士三一圣大卫大学颁发博士学位。</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英国威尔士三一圣大卫大学是</w:t>
      </w:r>
      <w:bookmarkStart w:id="0" w:name="OLE_LINK6"/>
      <w:bookmarkStart w:id="1" w:name="OLE_LINK7"/>
      <w:r>
        <w:rPr>
          <w:rFonts w:hint="eastAsia" w:ascii="宋体" w:hAnsi="宋体"/>
          <w:color w:val="auto"/>
          <w:sz w:val="24"/>
          <w:szCs w:val="24"/>
        </w:rPr>
        <w:t>英国继牛津大学、剑桥大学之后学位授予历史最悠久的大学之一</w:t>
      </w:r>
      <w:bookmarkEnd w:id="0"/>
      <w:bookmarkEnd w:id="1"/>
      <w:r>
        <w:rPr>
          <w:rFonts w:hint="eastAsia" w:ascii="宋体" w:hAnsi="宋体"/>
          <w:color w:val="auto"/>
          <w:sz w:val="24"/>
          <w:szCs w:val="24"/>
        </w:rPr>
        <w:t>。</w:t>
      </w:r>
      <w:r>
        <w:rPr>
          <w:rFonts w:ascii="宋体" w:hAnsi="宋体"/>
          <w:color w:val="auto"/>
          <w:sz w:val="24"/>
          <w:szCs w:val="24"/>
        </w:rPr>
        <w:t>2011</w:t>
      </w:r>
      <w:r>
        <w:rPr>
          <w:rFonts w:hint="eastAsia" w:ascii="宋体" w:hAnsi="宋体"/>
          <w:color w:val="auto"/>
          <w:sz w:val="24"/>
          <w:szCs w:val="24"/>
        </w:rPr>
        <w:t>年，查尔斯王子成为大学的皇家赞助人和名誉校长。在2017年泰晤士报高等教育学生体验调查中，学术体验排名英国大学前20，高水平员工/课程排名英国第9。2013年，英国威尔士三一圣大卫大学成为第一家获得“卫报可持续性奖”的大学；大学还获得“2015绿袍奖”、“最佳新人奖”；大学在“2015人类与地球大学排名”中，在环境效能方面，排名全英第8。</w:t>
      </w:r>
    </w:p>
    <w:p>
      <w:pPr>
        <w:spacing w:line="440" w:lineRule="exact"/>
        <w:ind w:firstLine="480" w:firstLineChars="200"/>
        <w:rPr>
          <w:rFonts w:ascii="宋体" w:hAnsi="宋体"/>
          <w:b/>
          <w:color w:val="auto"/>
          <w:sz w:val="32"/>
          <w:szCs w:val="32"/>
        </w:rPr>
      </w:pPr>
      <w:r>
        <w:rPr>
          <w:rFonts w:hint="eastAsia" w:ascii="宋体" w:hAnsi="宋体"/>
          <w:color w:val="auto"/>
          <w:sz w:val="24"/>
          <w:szCs w:val="24"/>
        </w:rPr>
        <w:t>成都信息工程大学创建于1951年，是中国气象局和四川省共建高校、国家中西部基础能力建设工程高校、首批国家“卓越工程师教育培养计划”试点院校、四川省首批“一流学科建设”高校。学校现以信息学科和大气学科为重点，以学科交叉为特色，以工学、理学、管理学为主要学科门类，形成了工、理、管、经、文、法、艺多学科协调融合发展的多科性大学。有突出贡献中青年专家、享受国务院政府特殊津贴专家、四川省学术和技术带头人、四川省有突出贡献的优秀专家等80余人，聘有100余名院士、长江、杰青等高层次专家为我校兼职教授。本校教师担任校外兼职博士生导师20余人。承办本项目的成都信息工程大学管理学院依托学校的学科优势和办学资源优势，坚持严谨的治学态度和扎实的工作作风，积累了丰富的办学经验，现有管理科学与工程一级学科硕士点和农业管理专业硕士点，其中管理科学与工程一级学科硕士点在全国第四轮学科水平评估公布结果中取得了优良成绩。</w:t>
      </w:r>
      <w:r>
        <w:rPr>
          <w:rFonts w:hint="eastAsia" w:ascii="宋体" w:hAnsi="宋体"/>
          <w:b/>
          <w:color w:val="auto"/>
          <w:sz w:val="32"/>
          <w:szCs w:val="32"/>
        </w:rPr>
        <w:t xml:space="preserve">   </w:t>
      </w:r>
    </w:p>
    <w:p>
      <w:pPr>
        <w:spacing w:before="156" w:beforeLines="50" w:after="156" w:afterLines="50" w:line="460" w:lineRule="exact"/>
        <w:ind w:firstLine="562" w:firstLineChars="200"/>
        <w:rPr>
          <w:rFonts w:ascii="宋体" w:hAnsi="宋体"/>
          <w:b/>
          <w:color w:val="auto"/>
          <w:sz w:val="28"/>
          <w:szCs w:val="28"/>
        </w:rPr>
      </w:pPr>
      <w:r>
        <w:rPr>
          <w:rFonts w:hint="eastAsia" w:ascii="宋体" w:hAnsi="宋体"/>
          <w:b/>
          <w:color w:val="auto"/>
          <w:sz w:val="28"/>
          <w:szCs w:val="28"/>
        </w:rPr>
        <w:t>二、培养模式</w:t>
      </w:r>
    </w:p>
    <w:p>
      <w:pPr>
        <w:spacing w:line="460" w:lineRule="exact"/>
        <w:ind w:firstLine="551" w:firstLineChars="196"/>
        <w:rPr>
          <w:rFonts w:ascii="宋体" w:hAnsi="宋体"/>
          <w:b/>
          <w:color w:val="auto"/>
          <w:sz w:val="28"/>
          <w:szCs w:val="28"/>
        </w:rPr>
      </w:pPr>
      <w:r>
        <w:rPr>
          <w:rFonts w:hint="eastAsia" w:ascii="宋体" w:hAnsi="宋体"/>
          <w:b/>
          <w:color w:val="auto"/>
          <w:sz w:val="28"/>
          <w:szCs w:val="28"/>
        </w:rPr>
        <w:t>1.学制</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博士预科课程时间为半年至一年，博士学制一般为3年（不含博士预科课程），最长可延至六年。</w:t>
      </w:r>
    </w:p>
    <w:p>
      <w:pPr>
        <w:spacing w:line="460" w:lineRule="exact"/>
        <w:ind w:firstLine="562" w:firstLineChars="200"/>
        <w:rPr>
          <w:rFonts w:ascii="宋体" w:hAnsi="宋体"/>
          <w:color w:val="auto"/>
          <w:sz w:val="24"/>
          <w:szCs w:val="24"/>
        </w:rPr>
      </w:pPr>
      <w:r>
        <w:rPr>
          <w:rFonts w:hint="eastAsia" w:ascii="宋体" w:hAnsi="宋体"/>
          <w:b/>
          <w:color w:val="auto"/>
          <w:sz w:val="28"/>
          <w:szCs w:val="28"/>
        </w:rPr>
        <w:t>2.博士预科课程学习</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博士预科课程在成都信息工程大学开设，主要为学员顺利达到申请博士项目要求的语言成绩，解决适应在英国就读博士项目课程而设置的一种过渡性课程，包括语言强化训练、学位论文撰写方法、英美文化、管理前沿学术讲座及与第一学年博士课程相衔接的相关专业课程等。</w:t>
      </w:r>
    </w:p>
    <w:p>
      <w:pPr>
        <w:spacing w:line="460" w:lineRule="exact"/>
        <w:ind w:firstLine="562" w:firstLineChars="200"/>
        <w:rPr>
          <w:rFonts w:ascii="宋体" w:hAnsi="宋体"/>
          <w:b/>
          <w:color w:val="auto"/>
          <w:sz w:val="28"/>
          <w:szCs w:val="28"/>
        </w:rPr>
      </w:pPr>
      <w:r>
        <w:rPr>
          <w:rFonts w:hint="eastAsia" w:ascii="宋体" w:hAnsi="宋体"/>
          <w:b/>
          <w:color w:val="auto"/>
          <w:sz w:val="28"/>
          <w:szCs w:val="28"/>
        </w:rPr>
        <w:t>3.博士学习</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博士项目采用国际通行的博士培养模式，即通过博士预科学习达到语言要求和相关课程学习要求的，即可申请博士项目学习资格。第一学年在英国集中完成博士课程学习，第二学年及第三学年的课程及论文在导师的指导下可选择在国内或国外完成。培养过程及质量保障由英国威尔士三一圣大卫大学负责。</w:t>
      </w:r>
    </w:p>
    <w:p>
      <w:pPr>
        <w:spacing w:line="460" w:lineRule="exact"/>
        <w:ind w:firstLine="562" w:firstLineChars="200"/>
        <w:rPr>
          <w:rFonts w:ascii="宋体" w:hAnsi="宋体"/>
          <w:b/>
          <w:color w:val="auto"/>
          <w:sz w:val="28"/>
          <w:szCs w:val="28"/>
        </w:rPr>
      </w:pPr>
      <w:r>
        <w:rPr>
          <w:rFonts w:hint="eastAsia" w:ascii="宋体" w:hAnsi="宋体"/>
          <w:b/>
          <w:color w:val="auto"/>
          <w:sz w:val="28"/>
          <w:szCs w:val="28"/>
        </w:rPr>
        <w:t>第一学年：课程学习</w:t>
      </w:r>
    </w:p>
    <w:p>
      <w:pPr>
        <w:pStyle w:val="7"/>
        <w:numPr>
          <w:ilvl w:val="0"/>
          <w:numId w:val="1"/>
        </w:numPr>
        <w:spacing w:line="460" w:lineRule="exact"/>
        <w:ind w:firstLineChars="0"/>
        <w:rPr>
          <w:rFonts w:ascii="宋体" w:hAnsi="宋体"/>
          <w:color w:val="auto"/>
          <w:sz w:val="24"/>
          <w:szCs w:val="24"/>
        </w:rPr>
      </w:pPr>
      <w:r>
        <w:rPr>
          <w:rFonts w:hint="eastAsia" w:ascii="宋体" w:hAnsi="宋体"/>
          <w:color w:val="auto"/>
          <w:sz w:val="24"/>
          <w:szCs w:val="24"/>
        </w:rPr>
        <w:t>课程设置</w:t>
      </w:r>
    </w:p>
    <w:p>
      <w:pPr>
        <w:spacing w:line="460" w:lineRule="exact"/>
        <w:ind w:left="560"/>
        <w:rPr>
          <w:rFonts w:ascii="宋体" w:hAnsi="宋体"/>
          <w:color w:val="auto"/>
          <w:sz w:val="24"/>
          <w:szCs w:val="24"/>
        </w:rPr>
      </w:pP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rPr>
        <w:t>学校</w:t>
      </w:r>
      <w:r>
        <w:rPr>
          <w:rFonts w:ascii="宋体" w:hAnsi="宋体"/>
          <w:color w:val="auto"/>
          <w:sz w:val="24"/>
          <w:szCs w:val="24"/>
        </w:rPr>
        <w:t>共开设</w:t>
      </w:r>
      <w:r>
        <w:rPr>
          <w:rFonts w:hint="eastAsia" w:ascii="宋体" w:hAnsi="宋体"/>
          <w:color w:val="auto"/>
          <w:sz w:val="24"/>
          <w:szCs w:val="24"/>
        </w:rPr>
        <w:t>8门课程，其中学员须完成6门课程学习。全部课程均在英国完成，学员可根据自身的需要选课（带*号者为必修课）,具体课程如下：</w:t>
      </w:r>
    </w:p>
    <w:p>
      <w:pPr>
        <w:pStyle w:val="2"/>
        <w:spacing w:before="0" w:beforeAutospacing="0" w:after="0" w:afterAutospacing="0" w:line="460" w:lineRule="exact"/>
        <w:ind w:firstLine="480" w:firstLineChars="200"/>
        <w:rPr>
          <w:rFonts w:ascii="Times New Roman" w:hAnsi="Times New Roman" w:cs="Times New Roman"/>
          <w:b/>
          <w:color w:val="auto"/>
        </w:rPr>
      </w:pPr>
      <w:r>
        <w:rPr>
          <w:rFonts w:ascii="Times New Roman" w:hAnsi="Times New Roman" w:cs="Times New Roman"/>
          <w:color w:val="auto"/>
        </w:rPr>
        <w:t>1</w:t>
      </w:r>
      <w:r>
        <w:rPr>
          <w:rFonts w:hint="eastAsia" w:ascii="Times New Roman" w:hAnsi="Times New Roman" w:cs="Times New Roman"/>
          <w:color w:val="auto"/>
        </w:rPr>
        <w:t xml:space="preserve">） </w:t>
      </w:r>
      <w:r>
        <w:rPr>
          <w:rFonts w:ascii="Times New Roman" w:hAnsi="Times New Roman" w:cs="Times New Roman"/>
          <w:color w:val="auto"/>
        </w:rPr>
        <w:t>Approaches to Research and Academic Communication</w:t>
      </w:r>
      <w:r>
        <w:rPr>
          <w:rFonts w:ascii="Times New Roman" w:hAnsi="Times New Roman" w:cs="Times New Roman"/>
          <w:b/>
          <w:color w:val="auto"/>
        </w:rPr>
        <w:t>*</w:t>
      </w:r>
    </w:p>
    <w:p>
      <w:pPr>
        <w:pStyle w:val="2"/>
        <w:spacing w:before="0" w:beforeAutospacing="0" w:after="0" w:afterAutospacing="0" w:line="460" w:lineRule="exact"/>
        <w:ind w:firstLine="480" w:firstLineChars="200"/>
        <w:rPr>
          <w:rFonts w:ascii="Times New Roman" w:hAnsi="Times New Roman" w:cs="Times New Roman"/>
          <w:color w:val="auto"/>
        </w:rPr>
      </w:pPr>
      <w:r>
        <w:rPr>
          <w:rFonts w:ascii="Times New Roman" w:hAnsi="Times New Roman" w:cs="Times New Roman"/>
          <w:color w:val="auto"/>
        </w:rPr>
        <w:t>2</w:t>
      </w:r>
      <w:r>
        <w:rPr>
          <w:rFonts w:hint="eastAsia" w:ascii="Times New Roman" w:hAnsi="Times New Roman" w:cs="Times New Roman"/>
          <w:color w:val="auto"/>
        </w:rPr>
        <w:t xml:space="preserve">） </w:t>
      </w:r>
      <w:r>
        <w:rPr>
          <w:rFonts w:ascii="Times New Roman" w:hAnsi="Times New Roman" w:cs="Times New Roman"/>
          <w:color w:val="auto"/>
        </w:rPr>
        <w:t>Qualitative Research</w:t>
      </w:r>
      <w:r>
        <w:rPr>
          <w:rFonts w:hint="eastAsia" w:ascii="Times New Roman" w:hAnsi="Times New Roman" w:cs="Times New Roman"/>
          <w:color w:val="auto"/>
        </w:rPr>
        <w:t>*</w:t>
      </w:r>
      <w:r>
        <w:rPr>
          <w:rFonts w:ascii="Times New Roman" w:hAnsi="Times New Roman" w:cs="Times New Roman"/>
          <w:color w:val="auto"/>
        </w:rPr>
        <w:t xml:space="preserve"> </w:t>
      </w:r>
    </w:p>
    <w:p>
      <w:pPr>
        <w:pStyle w:val="2"/>
        <w:spacing w:before="0" w:beforeAutospacing="0" w:after="0" w:afterAutospacing="0" w:line="460" w:lineRule="exact"/>
        <w:ind w:firstLine="480" w:firstLineChars="20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rPr>
        <w:t>）</w:t>
      </w:r>
      <w:r>
        <w:rPr>
          <w:rFonts w:ascii="Times New Roman" w:hAnsi="Times New Roman" w:cs="Times New Roman"/>
          <w:color w:val="auto"/>
        </w:rPr>
        <w:t>Quantitative Research Methods</w:t>
      </w:r>
      <w:r>
        <w:rPr>
          <w:rFonts w:hint="eastAsia" w:ascii="Times New Roman" w:hAnsi="Times New Roman" w:cs="Times New Roman"/>
          <w:color w:val="auto"/>
        </w:rPr>
        <w:t>*</w:t>
      </w:r>
    </w:p>
    <w:p>
      <w:pPr>
        <w:pStyle w:val="2"/>
        <w:spacing w:before="0" w:beforeAutospacing="0" w:after="0" w:afterAutospacing="0" w:line="460" w:lineRule="exact"/>
        <w:ind w:firstLine="480" w:firstLineChars="200"/>
        <w:rPr>
          <w:rFonts w:ascii="Times New Roman" w:hAnsi="Times New Roman" w:cs="Times New Roman"/>
          <w:color w:val="auto"/>
        </w:rPr>
      </w:pPr>
      <w:r>
        <w:rPr>
          <w:rFonts w:hint="eastAsia" w:ascii="Times New Roman" w:hAnsi="Times New Roman" w:cs="Times New Roman"/>
          <w:color w:val="auto"/>
        </w:rPr>
        <w:t>4）</w:t>
      </w:r>
      <w:r>
        <w:rPr>
          <w:rFonts w:ascii="Times New Roman" w:hAnsi="Times New Roman" w:cs="Times New Roman"/>
          <w:color w:val="auto"/>
        </w:rPr>
        <w:t>Visions for the Future – Theoretical Perspectives on Management</w:t>
      </w:r>
    </w:p>
    <w:p>
      <w:pPr>
        <w:pStyle w:val="2"/>
        <w:spacing w:before="0" w:beforeAutospacing="0" w:after="0" w:afterAutospacing="0" w:line="460" w:lineRule="exact"/>
        <w:ind w:firstLine="480" w:firstLineChars="200"/>
        <w:rPr>
          <w:rFonts w:ascii="Times New Roman" w:hAnsi="Times New Roman" w:cs="Times New Roman"/>
          <w:color w:val="auto"/>
        </w:rPr>
      </w:pPr>
      <w:r>
        <w:rPr>
          <w:rFonts w:hint="eastAsia" w:ascii="Times New Roman" w:hAnsi="Times New Roman" w:cs="Times New Roman"/>
          <w:color w:val="auto"/>
        </w:rPr>
        <w:t>5）</w:t>
      </w:r>
      <w:r>
        <w:rPr>
          <w:rFonts w:ascii="Times New Roman" w:hAnsi="Times New Roman" w:cs="Times New Roman"/>
          <w:color w:val="auto"/>
        </w:rPr>
        <w:t>Strategic Change and Organisations</w:t>
      </w:r>
    </w:p>
    <w:p>
      <w:pPr>
        <w:pStyle w:val="2"/>
        <w:spacing w:before="0" w:beforeAutospacing="0" w:after="0" w:afterAutospacing="0" w:line="460" w:lineRule="exact"/>
        <w:ind w:firstLine="480" w:firstLineChars="200"/>
        <w:rPr>
          <w:rFonts w:ascii="Times New Roman" w:hAnsi="Times New Roman" w:cs="Times New Roman"/>
          <w:color w:val="auto"/>
        </w:rPr>
      </w:pPr>
      <w:r>
        <w:rPr>
          <w:rFonts w:hint="eastAsia" w:ascii="Times New Roman" w:hAnsi="Times New Roman" w:cs="Times New Roman"/>
          <w:color w:val="auto"/>
        </w:rPr>
        <w:t>6）</w:t>
      </w:r>
      <w:r>
        <w:rPr>
          <w:rFonts w:ascii="Times New Roman" w:hAnsi="Times New Roman" w:cs="Times New Roman"/>
          <w:color w:val="auto"/>
        </w:rPr>
        <w:t>Managing in Complex Environments: Strategies,</w:t>
      </w:r>
      <w:r>
        <w:rPr>
          <w:rStyle w:val="8"/>
          <w:rFonts w:ascii="Times New Roman" w:hAnsi="Times New Roman" w:cs="Times New Roman"/>
          <w:color w:val="auto"/>
        </w:rPr>
        <w:t> </w:t>
      </w:r>
      <w:r>
        <w:rPr>
          <w:rFonts w:ascii="Times New Roman" w:hAnsi="Times New Roman" w:cs="Times New Roman"/>
          <w:color w:val="auto"/>
        </w:rPr>
        <w:t>Insights and Solutions</w:t>
      </w:r>
    </w:p>
    <w:p>
      <w:pPr>
        <w:pStyle w:val="2"/>
        <w:spacing w:before="0" w:beforeAutospacing="0" w:after="0" w:afterAutospacing="0" w:line="460" w:lineRule="exact"/>
        <w:ind w:firstLine="480" w:firstLineChars="200"/>
        <w:rPr>
          <w:rFonts w:ascii="Times New Roman" w:hAnsi="Times New Roman" w:cs="Times New Roman"/>
          <w:color w:val="auto"/>
        </w:rPr>
      </w:pPr>
      <w:r>
        <w:rPr>
          <w:rFonts w:hint="eastAsia" w:ascii="Times New Roman" w:hAnsi="Times New Roman" w:cs="Times New Roman"/>
          <w:color w:val="auto"/>
        </w:rPr>
        <w:t>7）</w:t>
      </w:r>
      <w:r>
        <w:rPr>
          <w:rFonts w:ascii="Times New Roman" w:hAnsi="Times New Roman" w:cs="Times New Roman"/>
          <w:color w:val="auto"/>
        </w:rPr>
        <w:t>Entrepreneurial Perspectives</w:t>
      </w:r>
    </w:p>
    <w:p>
      <w:pPr>
        <w:pStyle w:val="2"/>
        <w:spacing w:before="0" w:beforeAutospacing="0" w:after="0" w:afterAutospacing="0" w:line="460" w:lineRule="exact"/>
        <w:ind w:firstLine="480" w:firstLineChars="200"/>
        <w:rPr>
          <w:rFonts w:ascii="Times New Roman" w:hAnsi="Times New Roman" w:cs="Times New Roman"/>
          <w:color w:val="auto"/>
        </w:rPr>
      </w:pPr>
      <w:r>
        <w:rPr>
          <w:rFonts w:hint="eastAsia" w:ascii="Times New Roman" w:hAnsi="Times New Roman" w:cs="Times New Roman"/>
          <w:color w:val="auto"/>
        </w:rPr>
        <w:t>8）Leadership</w:t>
      </w:r>
    </w:p>
    <w:p>
      <w:pPr>
        <w:pStyle w:val="7"/>
        <w:numPr>
          <w:ilvl w:val="0"/>
          <w:numId w:val="1"/>
        </w:numPr>
        <w:spacing w:line="460" w:lineRule="exact"/>
        <w:ind w:firstLineChars="0"/>
        <w:rPr>
          <w:rFonts w:ascii="宋体" w:hAnsi="宋体"/>
          <w:color w:val="auto"/>
          <w:sz w:val="24"/>
          <w:szCs w:val="24"/>
        </w:rPr>
      </w:pPr>
      <w:r>
        <w:rPr>
          <w:rFonts w:hint="eastAsia" w:ascii="宋体" w:hAnsi="宋体"/>
          <w:color w:val="auto"/>
          <w:sz w:val="24"/>
          <w:szCs w:val="24"/>
        </w:rPr>
        <w:t>项目</w:t>
      </w:r>
      <w:r>
        <w:rPr>
          <w:rFonts w:ascii="宋体" w:hAnsi="宋体"/>
          <w:color w:val="auto"/>
          <w:sz w:val="24"/>
          <w:szCs w:val="24"/>
        </w:rPr>
        <w:t>课程计划与要求：</w:t>
      </w:r>
    </w:p>
    <w:p>
      <w:pPr>
        <w:pStyle w:val="7"/>
        <w:numPr>
          <w:ilvl w:val="0"/>
          <w:numId w:val="2"/>
        </w:numPr>
        <w:spacing w:line="460" w:lineRule="exact"/>
        <w:ind w:firstLineChars="0"/>
        <w:rPr>
          <w:rFonts w:ascii="宋体" w:hAnsi="宋体"/>
          <w:color w:val="auto"/>
          <w:sz w:val="24"/>
          <w:szCs w:val="24"/>
        </w:rPr>
      </w:pPr>
      <w:r>
        <w:rPr>
          <w:rFonts w:ascii="宋体" w:hAnsi="宋体"/>
          <w:color w:val="auto"/>
          <w:sz w:val="24"/>
          <w:szCs w:val="24"/>
        </w:rPr>
        <w:t>每门课程均需完成7500字左右的</w:t>
      </w:r>
      <w:r>
        <w:rPr>
          <w:rFonts w:hint="eastAsia" w:ascii="宋体" w:hAnsi="宋体"/>
          <w:color w:val="auto"/>
          <w:sz w:val="24"/>
          <w:szCs w:val="24"/>
        </w:rPr>
        <w:t>英文</w:t>
      </w:r>
      <w:r>
        <w:rPr>
          <w:rFonts w:ascii="宋体" w:hAnsi="宋体"/>
          <w:color w:val="auto"/>
          <w:sz w:val="24"/>
          <w:szCs w:val="24"/>
        </w:rPr>
        <w:t>课程论文。</w:t>
      </w:r>
    </w:p>
    <w:p>
      <w:pPr>
        <w:pStyle w:val="7"/>
        <w:numPr>
          <w:ilvl w:val="0"/>
          <w:numId w:val="2"/>
        </w:numPr>
        <w:spacing w:line="460" w:lineRule="exact"/>
        <w:ind w:firstLineChars="0"/>
        <w:rPr>
          <w:rFonts w:ascii="宋体" w:hAnsi="宋体"/>
          <w:color w:val="auto"/>
          <w:sz w:val="24"/>
          <w:szCs w:val="24"/>
        </w:rPr>
      </w:pPr>
      <w:r>
        <w:rPr>
          <w:rFonts w:ascii="宋体" w:hAnsi="宋体"/>
          <w:color w:val="auto"/>
          <w:sz w:val="24"/>
          <w:szCs w:val="24"/>
        </w:rPr>
        <w:t>课程以小组讨论和PPT展示为主，部分课程设置了与授课老师一对一的讨论。</w:t>
      </w:r>
    </w:p>
    <w:p>
      <w:pPr>
        <w:pStyle w:val="7"/>
        <w:numPr>
          <w:ilvl w:val="0"/>
          <w:numId w:val="2"/>
        </w:numPr>
        <w:spacing w:line="460" w:lineRule="exact"/>
        <w:ind w:firstLineChars="0"/>
        <w:rPr>
          <w:rFonts w:ascii="宋体" w:hAnsi="宋体"/>
          <w:color w:val="auto"/>
          <w:sz w:val="24"/>
          <w:szCs w:val="24"/>
        </w:rPr>
      </w:pPr>
      <w:r>
        <w:rPr>
          <w:rFonts w:ascii="宋体" w:hAnsi="宋体"/>
          <w:color w:val="auto"/>
          <w:sz w:val="24"/>
          <w:szCs w:val="24"/>
        </w:rPr>
        <w:t>第一学年的课程学习全部通过后，即可进入</w:t>
      </w:r>
      <w:r>
        <w:rPr>
          <w:rFonts w:hint="eastAsia" w:ascii="宋体" w:hAnsi="宋体"/>
          <w:color w:val="auto"/>
          <w:sz w:val="24"/>
          <w:szCs w:val="24"/>
        </w:rPr>
        <w:t>第二学年及以后的</w:t>
      </w:r>
      <w:r>
        <w:rPr>
          <w:rFonts w:ascii="宋体" w:hAnsi="宋体"/>
          <w:color w:val="auto"/>
          <w:sz w:val="24"/>
          <w:szCs w:val="24"/>
        </w:rPr>
        <w:t>毕业论文撰写</w:t>
      </w:r>
      <w:r>
        <w:rPr>
          <w:rFonts w:hint="eastAsia" w:ascii="宋体" w:hAnsi="宋体"/>
          <w:color w:val="auto"/>
          <w:sz w:val="24"/>
          <w:szCs w:val="24"/>
        </w:rPr>
        <w:t>学习。</w:t>
      </w:r>
    </w:p>
    <w:p>
      <w:pPr>
        <w:spacing w:line="360" w:lineRule="auto"/>
        <w:rPr>
          <w:rFonts w:ascii="宋体" w:hAnsi="宋体"/>
          <w:b/>
          <w:color w:val="auto"/>
          <w:sz w:val="28"/>
          <w:szCs w:val="28"/>
        </w:rPr>
      </w:pPr>
      <w:r>
        <w:rPr>
          <w:rFonts w:hint="eastAsia" w:ascii="宋体" w:hAnsi="宋体"/>
          <w:color w:val="auto"/>
          <w:sz w:val="28"/>
          <w:szCs w:val="28"/>
        </w:rPr>
        <w:t xml:space="preserve">    </w:t>
      </w:r>
      <w:r>
        <w:rPr>
          <w:rFonts w:hint="eastAsia" w:ascii="宋体" w:hAnsi="宋体"/>
          <w:b/>
          <w:color w:val="auto"/>
          <w:sz w:val="28"/>
          <w:szCs w:val="28"/>
        </w:rPr>
        <w:t>第二学年及以后：学位论文撰写</w:t>
      </w:r>
    </w:p>
    <w:p>
      <w:pPr>
        <w:pStyle w:val="7"/>
        <w:numPr>
          <w:ilvl w:val="0"/>
          <w:numId w:val="1"/>
        </w:numPr>
        <w:spacing w:line="360" w:lineRule="auto"/>
        <w:ind w:firstLineChars="0"/>
        <w:rPr>
          <w:rFonts w:ascii="宋体" w:hAnsi="宋体"/>
          <w:color w:val="auto"/>
          <w:sz w:val="24"/>
          <w:szCs w:val="24"/>
        </w:rPr>
      </w:pPr>
      <w:r>
        <w:rPr>
          <w:rFonts w:hint="eastAsia" w:ascii="宋体" w:hAnsi="宋体"/>
          <w:color w:val="auto"/>
          <w:sz w:val="24"/>
          <w:szCs w:val="24"/>
        </w:rPr>
        <w:t>论文导师：指定中英双方</w:t>
      </w:r>
      <w:r>
        <w:rPr>
          <w:rFonts w:ascii="宋体" w:hAnsi="宋体"/>
          <w:color w:val="auto"/>
          <w:sz w:val="24"/>
          <w:szCs w:val="24"/>
        </w:rPr>
        <w:t>2位</w:t>
      </w:r>
      <w:r>
        <w:rPr>
          <w:rFonts w:hint="eastAsia" w:ascii="宋体" w:hAnsi="宋体"/>
          <w:color w:val="auto"/>
          <w:sz w:val="24"/>
          <w:szCs w:val="24"/>
        </w:rPr>
        <w:t>联合导师</w:t>
      </w:r>
      <w:r>
        <w:rPr>
          <w:rFonts w:ascii="宋体" w:hAnsi="宋体"/>
          <w:color w:val="auto"/>
          <w:sz w:val="24"/>
          <w:szCs w:val="24"/>
        </w:rPr>
        <w:t>进行</w:t>
      </w:r>
      <w:r>
        <w:rPr>
          <w:rFonts w:hint="eastAsia" w:ascii="宋体" w:hAnsi="宋体"/>
          <w:color w:val="auto"/>
          <w:sz w:val="24"/>
          <w:szCs w:val="24"/>
        </w:rPr>
        <w:t>指</w:t>
      </w:r>
      <w:r>
        <w:rPr>
          <w:rFonts w:ascii="宋体" w:hAnsi="宋体"/>
          <w:color w:val="auto"/>
          <w:sz w:val="24"/>
          <w:szCs w:val="24"/>
        </w:rPr>
        <w:t>导</w:t>
      </w:r>
      <w:r>
        <w:rPr>
          <w:rFonts w:hint="eastAsia" w:ascii="宋体" w:hAnsi="宋体"/>
          <w:color w:val="auto"/>
          <w:sz w:val="24"/>
          <w:szCs w:val="24"/>
        </w:rPr>
        <w:t>，</w:t>
      </w:r>
      <w:r>
        <w:rPr>
          <w:rFonts w:ascii="宋体" w:hAnsi="宋体"/>
          <w:color w:val="auto"/>
          <w:sz w:val="24"/>
          <w:szCs w:val="24"/>
        </w:rPr>
        <w:t>每个月至少指导一次。</w:t>
      </w:r>
    </w:p>
    <w:p>
      <w:pPr>
        <w:pStyle w:val="7"/>
        <w:numPr>
          <w:ilvl w:val="0"/>
          <w:numId w:val="1"/>
        </w:numPr>
        <w:spacing w:line="360" w:lineRule="auto"/>
        <w:ind w:firstLineChars="0"/>
        <w:rPr>
          <w:rFonts w:ascii="宋体" w:hAnsi="宋体"/>
          <w:color w:val="auto"/>
          <w:sz w:val="24"/>
          <w:szCs w:val="24"/>
        </w:rPr>
      </w:pPr>
      <w:r>
        <w:rPr>
          <w:rFonts w:hint="eastAsia" w:ascii="宋体" w:hAnsi="宋体"/>
          <w:color w:val="auto"/>
          <w:sz w:val="24"/>
          <w:szCs w:val="24"/>
        </w:rPr>
        <w:t>论文开题答辩</w:t>
      </w:r>
    </w:p>
    <w:p>
      <w:pPr>
        <w:pStyle w:val="7"/>
        <w:numPr>
          <w:ilvl w:val="0"/>
          <w:numId w:val="1"/>
        </w:numPr>
        <w:spacing w:line="360" w:lineRule="auto"/>
        <w:ind w:firstLineChars="0"/>
        <w:rPr>
          <w:rFonts w:ascii="宋体" w:hAnsi="宋体"/>
          <w:color w:val="auto"/>
          <w:sz w:val="24"/>
          <w:szCs w:val="24"/>
        </w:rPr>
      </w:pPr>
      <w:r>
        <w:rPr>
          <w:rFonts w:hint="eastAsia" w:ascii="宋体" w:hAnsi="宋体"/>
          <w:color w:val="auto"/>
          <w:sz w:val="24"/>
          <w:szCs w:val="24"/>
        </w:rPr>
        <w:t>论文写作及进度检查</w:t>
      </w:r>
    </w:p>
    <w:p>
      <w:pPr>
        <w:pStyle w:val="7"/>
        <w:numPr>
          <w:ilvl w:val="0"/>
          <w:numId w:val="1"/>
        </w:numPr>
        <w:spacing w:line="360" w:lineRule="auto"/>
        <w:ind w:firstLineChars="0"/>
        <w:rPr>
          <w:rFonts w:ascii="宋体" w:hAnsi="宋体"/>
          <w:color w:val="auto"/>
          <w:sz w:val="24"/>
          <w:szCs w:val="24"/>
        </w:rPr>
      </w:pPr>
      <w:r>
        <w:rPr>
          <w:rFonts w:hint="eastAsia" w:ascii="宋体" w:hAnsi="宋体"/>
          <w:color w:val="auto"/>
          <w:sz w:val="24"/>
          <w:szCs w:val="24"/>
        </w:rPr>
        <w:t>论文提交：</w:t>
      </w:r>
      <w:r>
        <w:rPr>
          <w:rFonts w:ascii="宋体" w:hAnsi="宋体"/>
          <w:color w:val="auto"/>
          <w:sz w:val="24"/>
          <w:szCs w:val="24"/>
        </w:rPr>
        <w:t>要求六万字以</w:t>
      </w:r>
      <w:r>
        <w:rPr>
          <w:rFonts w:hint="eastAsia" w:ascii="宋体" w:hAnsi="宋体"/>
          <w:color w:val="auto"/>
          <w:sz w:val="24"/>
          <w:szCs w:val="24"/>
          <w:lang w:val="en-US" w:eastAsia="zh-CN"/>
        </w:rPr>
        <w:t>内</w:t>
      </w:r>
      <w:r>
        <w:rPr>
          <w:rFonts w:hint="eastAsia" w:ascii="宋体" w:hAnsi="宋体"/>
          <w:color w:val="auto"/>
          <w:sz w:val="24"/>
          <w:szCs w:val="24"/>
        </w:rPr>
        <w:t>的英文论文</w:t>
      </w:r>
    </w:p>
    <w:p>
      <w:pPr>
        <w:pStyle w:val="7"/>
        <w:numPr>
          <w:ilvl w:val="0"/>
          <w:numId w:val="1"/>
        </w:numPr>
        <w:spacing w:line="360" w:lineRule="auto"/>
        <w:ind w:firstLineChars="0"/>
        <w:rPr>
          <w:rFonts w:ascii="宋体" w:hAnsi="宋体"/>
          <w:color w:val="auto"/>
          <w:sz w:val="24"/>
          <w:szCs w:val="24"/>
        </w:rPr>
      </w:pPr>
      <w:r>
        <w:rPr>
          <w:rFonts w:hint="eastAsia" w:ascii="宋体" w:hAnsi="宋体"/>
          <w:color w:val="auto"/>
          <w:sz w:val="24"/>
          <w:szCs w:val="24"/>
        </w:rPr>
        <w:t>论文答辩：赴英国论文答辩</w:t>
      </w:r>
    </w:p>
    <w:p>
      <w:pPr>
        <w:pStyle w:val="7"/>
        <w:numPr>
          <w:ilvl w:val="0"/>
          <w:numId w:val="0"/>
        </w:numPr>
        <w:spacing w:line="360" w:lineRule="auto"/>
        <w:ind w:left="560" w:leftChars="0"/>
        <w:rPr>
          <w:rFonts w:ascii="宋体" w:hAnsi="宋体"/>
          <w:color w:val="auto"/>
          <w:sz w:val="24"/>
          <w:szCs w:val="24"/>
        </w:rPr>
      </w:pPr>
    </w:p>
    <w:p>
      <w:pPr>
        <w:spacing w:before="156" w:beforeLines="50" w:after="156" w:afterLines="50" w:line="460" w:lineRule="exact"/>
        <w:ind w:firstLine="422" w:firstLineChars="150"/>
        <w:rPr>
          <w:rFonts w:ascii="宋体" w:hAnsi="宋体"/>
          <w:b/>
          <w:color w:val="auto"/>
          <w:sz w:val="28"/>
          <w:szCs w:val="28"/>
        </w:rPr>
      </w:pPr>
      <w:r>
        <w:rPr>
          <w:rFonts w:hint="eastAsia" w:ascii="宋体" w:hAnsi="宋体"/>
          <w:b/>
          <w:color w:val="auto"/>
          <w:sz w:val="28"/>
          <w:szCs w:val="28"/>
        </w:rPr>
        <w:t>三、学位授予</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学员完成博士项目全部课程学习，达到毕业要求，并通过博士论文答辩，将获得英国威尔士三一圣大卫大学授予的管理学博士学位。其学位由中国教育部留学服务中心认证。详情请登录中国教育部涉外监管信息网（</w:t>
      </w:r>
      <w:r>
        <w:rPr>
          <w:b w:val="0"/>
          <w:bCs w:val="0"/>
          <w:color w:val="auto"/>
          <w:u w:val="single"/>
        </w:rPr>
        <w:fldChar w:fldCharType="begin"/>
      </w:r>
      <w:r>
        <w:rPr>
          <w:b w:val="0"/>
          <w:bCs w:val="0"/>
          <w:color w:val="auto"/>
          <w:u w:val="single"/>
        </w:rPr>
        <w:instrText xml:space="preserve"> HYPERLINK "http://WWW.jsj.edu.cn" </w:instrText>
      </w:r>
      <w:r>
        <w:rPr>
          <w:b w:val="0"/>
          <w:bCs w:val="0"/>
          <w:color w:val="auto"/>
          <w:u w:val="single"/>
        </w:rPr>
        <w:fldChar w:fldCharType="separate"/>
      </w:r>
      <w:r>
        <w:rPr>
          <w:rFonts w:hint="eastAsia"/>
          <w:b w:val="0"/>
          <w:bCs w:val="0"/>
          <w:color w:val="auto"/>
          <w:u w:val="single"/>
          <w:lang w:val="en-US" w:eastAsia="zh-CN"/>
        </w:rPr>
        <w:t>www</w:t>
      </w:r>
      <w:r>
        <w:rPr>
          <w:rStyle w:val="6"/>
          <w:rFonts w:hint="eastAsia" w:ascii="宋体" w:hAnsi="宋体"/>
          <w:b w:val="0"/>
          <w:bCs w:val="0"/>
          <w:color w:val="auto"/>
          <w:sz w:val="24"/>
          <w:szCs w:val="24"/>
          <w:u w:val="single"/>
        </w:rPr>
        <w:t>.jsj.edu.cn</w:t>
      </w:r>
      <w:r>
        <w:rPr>
          <w:rStyle w:val="6"/>
          <w:rFonts w:hint="eastAsia" w:ascii="宋体" w:hAnsi="宋体"/>
          <w:b w:val="0"/>
          <w:bCs w:val="0"/>
          <w:color w:val="auto"/>
          <w:sz w:val="24"/>
          <w:szCs w:val="24"/>
          <w:u w:val="single"/>
        </w:rPr>
        <w:fldChar w:fldCharType="end"/>
      </w:r>
      <w:r>
        <w:rPr>
          <w:rFonts w:hint="eastAsia" w:ascii="宋体" w:hAnsi="宋体"/>
          <w:color w:val="auto"/>
          <w:sz w:val="24"/>
          <w:szCs w:val="24"/>
        </w:rPr>
        <w:t>）。</w:t>
      </w:r>
    </w:p>
    <w:p>
      <w:pPr>
        <w:spacing w:line="360" w:lineRule="auto"/>
        <w:ind w:firstLine="480" w:firstLineChars="200"/>
        <w:rPr>
          <w:rFonts w:hint="eastAsia" w:ascii="宋体" w:hAnsi="宋体"/>
          <w:color w:val="auto"/>
          <w:sz w:val="24"/>
          <w:szCs w:val="24"/>
        </w:rPr>
      </w:pPr>
    </w:p>
    <w:p>
      <w:pPr>
        <w:spacing w:before="156" w:beforeLines="50" w:after="156" w:afterLines="50" w:line="400" w:lineRule="exact"/>
        <w:ind w:firstLine="562" w:firstLineChars="200"/>
        <w:rPr>
          <w:rFonts w:ascii="宋体" w:hAnsi="宋体"/>
          <w:b/>
          <w:color w:val="auto"/>
          <w:sz w:val="28"/>
          <w:szCs w:val="28"/>
        </w:rPr>
      </w:pPr>
      <w:r>
        <w:rPr>
          <w:rFonts w:hint="eastAsia" w:ascii="宋体" w:hAnsi="宋体"/>
          <w:b/>
          <w:color w:val="auto"/>
          <w:sz w:val="28"/>
          <w:szCs w:val="28"/>
        </w:rPr>
        <w:t>四、学费</w:t>
      </w:r>
    </w:p>
    <w:p>
      <w:pPr>
        <w:pStyle w:val="7"/>
        <w:numPr>
          <w:ilvl w:val="0"/>
          <w:numId w:val="3"/>
        </w:numPr>
        <w:spacing w:line="360" w:lineRule="auto"/>
        <w:ind w:firstLineChars="0"/>
        <w:rPr>
          <w:rFonts w:ascii="宋体" w:hAnsi="宋体"/>
          <w:color w:val="auto"/>
          <w:sz w:val="24"/>
          <w:szCs w:val="24"/>
        </w:rPr>
      </w:pPr>
      <w:r>
        <w:rPr>
          <w:rFonts w:hint="eastAsia" w:ascii="宋体" w:hAnsi="宋体"/>
          <w:color w:val="auto"/>
          <w:sz w:val="24"/>
          <w:szCs w:val="24"/>
        </w:rPr>
        <w:t>博士项目学费由威尔士三一圣大卫大学分三年三次收取，三年未能毕业的学员不再额外收取学费。</w:t>
      </w:r>
    </w:p>
    <w:p>
      <w:pPr>
        <w:pStyle w:val="7"/>
        <w:numPr>
          <w:ilvl w:val="0"/>
          <w:numId w:val="3"/>
        </w:numPr>
        <w:spacing w:line="360" w:lineRule="auto"/>
        <w:ind w:firstLineChars="0"/>
        <w:rPr>
          <w:rFonts w:hint="eastAsia" w:ascii="宋体" w:hAnsi="宋体"/>
          <w:color w:val="auto"/>
          <w:sz w:val="24"/>
          <w:szCs w:val="24"/>
        </w:rPr>
      </w:pPr>
      <w:r>
        <w:rPr>
          <w:rFonts w:hint="eastAsia" w:ascii="宋体" w:hAnsi="宋体"/>
          <w:color w:val="auto"/>
          <w:sz w:val="24"/>
          <w:szCs w:val="24"/>
          <w:lang w:eastAsia="zh-CN"/>
        </w:rPr>
        <w:t>每年</w:t>
      </w:r>
      <w:r>
        <w:rPr>
          <w:rFonts w:hint="eastAsia" w:ascii="宋体" w:hAnsi="宋体"/>
          <w:color w:val="auto"/>
          <w:sz w:val="24"/>
          <w:szCs w:val="24"/>
        </w:rPr>
        <w:t>学费</w:t>
      </w:r>
      <w:r>
        <w:rPr>
          <w:rFonts w:hint="eastAsia" w:ascii="宋体" w:hAnsi="宋体"/>
          <w:color w:val="auto"/>
          <w:sz w:val="24"/>
          <w:szCs w:val="24"/>
          <w:lang w:val="en-US" w:eastAsia="zh-CN"/>
        </w:rPr>
        <w:t>12900</w:t>
      </w:r>
      <w:r>
        <w:rPr>
          <w:rFonts w:hint="eastAsia" w:ascii="宋体" w:hAnsi="宋体"/>
          <w:color w:val="auto"/>
          <w:sz w:val="24"/>
          <w:szCs w:val="24"/>
        </w:rPr>
        <w:t>英镑（学费全部由英国威尔士三一圣大卫大学收取</w:t>
      </w:r>
      <w:r>
        <w:rPr>
          <w:rFonts w:hint="eastAsia" w:ascii="宋体" w:hAnsi="宋体"/>
          <w:color w:val="auto"/>
          <w:sz w:val="24"/>
          <w:szCs w:val="24"/>
          <w:lang w:eastAsia="zh-CN"/>
        </w:rPr>
        <w:t>）。</w:t>
      </w:r>
    </w:p>
    <w:p>
      <w:pPr>
        <w:pStyle w:val="7"/>
        <w:numPr>
          <w:ilvl w:val="0"/>
          <w:numId w:val="3"/>
        </w:numPr>
        <w:spacing w:line="360" w:lineRule="auto"/>
        <w:ind w:firstLineChars="0"/>
        <w:rPr>
          <w:rFonts w:ascii="宋体" w:hAnsi="宋体"/>
          <w:color w:val="auto"/>
          <w:sz w:val="24"/>
          <w:szCs w:val="24"/>
        </w:rPr>
      </w:pPr>
      <w:r>
        <w:rPr>
          <w:rFonts w:hint="eastAsia" w:ascii="宋体" w:hAnsi="宋体"/>
          <w:color w:val="auto"/>
          <w:sz w:val="24"/>
          <w:szCs w:val="24"/>
        </w:rPr>
        <w:t>博士项目预科班一次性收取培训费3.5万元人民币。</w:t>
      </w:r>
    </w:p>
    <w:p>
      <w:pPr>
        <w:spacing w:before="156" w:beforeLines="50" w:after="156" w:afterLines="50" w:line="400" w:lineRule="exact"/>
        <w:rPr>
          <w:rFonts w:hint="eastAsia" w:ascii="宋体" w:hAnsi="宋体"/>
          <w:b/>
          <w:color w:val="auto"/>
          <w:sz w:val="32"/>
          <w:szCs w:val="32"/>
        </w:rPr>
      </w:pPr>
    </w:p>
    <w:p>
      <w:pPr>
        <w:spacing w:before="156" w:beforeLines="50" w:after="156" w:afterLines="50" w:line="400" w:lineRule="exact"/>
        <w:ind w:firstLine="562" w:firstLineChars="200"/>
        <w:rPr>
          <w:rFonts w:ascii="宋体" w:hAnsi="宋体"/>
          <w:b/>
          <w:color w:val="auto"/>
          <w:sz w:val="28"/>
          <w:szCs w:val="28"/>
        </w:rPr>
      </w:pPr>
      <w:r>
        <w:rPr>
          <w:rFonts w:hint="eastAsia" w:ascii="宋体" w:hAnsi="宋体"/>
          <w:b/>
          <w:color w:val="auto"/>
          <w:sz w:val="28"/>
          <w:szCs w:val="28"/>
        </w:rPr>
        <w:t>五、招生条件及入学时间</w:t>
      </w:r>
      <w:bookmarkStart w:id="2" w:name="_GoBack"/>
      <w:bookmarkEnd w:id="2"/>
    </w:p>
    <w:p>
      <w:pPr>
        <w:pStyle w:val="7"/>
        <w:spacing w:line="360" w:lineRule="auto"/>
        <w:rPr>
          <w:rFonts w:ascii="宋体" w:hAnsi="宋体"/>
          <w:color w:val="auto"/>
          <w:sz w:val="28"/>
          <w:szCs w:val="28"/>
        </w:rPr>
      </w:pPr>
      <w:r>
        <w:rPr>
          <w:rFonts w:hint="eastAsia" w:ascii="宋体" w:hAnsi="宋体"/>
          <w:b/>
          <w:color w:val="auto"/>
          <w:sz w:val="28"/>
          <w:szCs w:val="28"/>
        </w:rPr>
        <w:t>1.申请条件</w:t>
      </w:r>
    </w:p>
    <w:p>
      <w:pPr>
        <w:pStyle w:val="7"/>
        <w:numPr>
          <w:ilvl w:val="0"/>
          <w:numId w:val="3"/>
        </w:numPr>
        <w:spacing w:line="360" w:lineRule="auto"/>
        <w:ind w:firstLineChars="0"/>
        <w:rPr>
          <w:rFonts w:hint="eastAsia" w:ascii="宋体" w:hAnsi="宋体"/>
          <w:color w:val="auto"/>
          <w:sz w:val="24"/>
          <w:szCs w:val="24"/>
        </w:rPr>
      </w:pPr>
      <w:r>
        <w:rPr>
          <w:rFonts w:hint="eastAsia" w:ascii="宋体" w:hAnsi="宋体"/>
          <w:color w:val="auto"/>
          <w:sz w:val="24"/>
          <w:szCs w:val="24"/>
        </w:rPr>
        <w:t>具有硕士及以上学位，或具有五年以上工作经历的本科学历者</w:t>
      </w:r>
      <w:r>
        <w:rPr>
          <w:rFonts w:hint="eastAsia" w:ascii="宋体" w:hAnsi="宋体"/>
          <w:color w:val="auto"/>
          <w:sz w:val="24"/>
          <w:szCs w:val="24"/>
          <w:lang w:eastAsia="zh-CN"/>
        </w:rPr>
        <w:t>。</w:t>
      </w:r>
    </w:p>
    <w:p>
      <w:pPr>
        <w:pStyle w:val="7"/>
        <w:numPr>
          <w:ilvl w:val="0"/>
          <w:numId w:val="3"/>
        </w:numPr>
        <w:spacing w:line="360" w:lineRule="auto"/>
        <w:ind w:firstLineChars="0"/>
        <w:rPr>
          <w:rFonts w:ascii="宋体" w:hAnsi="宋体"/>
          <w:b/>
          <w:color w:val="auto"/>
          <w:sz w:val="28"/>
          <w:szCs w:val="28"/>
        </w:rPr>
      </w:pPr>
      <w:r>
        <w:rPr>
          <w:rFonts w:hint="eastAsia" w:ascii="宋体" w:hAnsi="宋体"/>
          <w:color w:val="auto"/>
          <w:sz w:val="24"/>
          <w:szCs w:val="24"/>
        </w:rPr>
        <w:t>雅思6.0分或通过WALES ALT test语言内测（WALES ALT test是威尔士三一圣大卫大学专门用于测试申请该校学位课程的学生学术英语能力的考试，每年11月、3月、5月、7月考试，考试地点设在成都信息工程大学）。</w:t>
      </w:r>
    </w:p>
    <w:p>
      <w:pPr>
        <w:pStyle w:val="7"/>
        <w:numPr>
          <w:ilvl w:val="0"/>
          <w:numId w:val="0"/>
        </w:numPr>
        <w:spacing w:line="360" w:lineRule="auto"/>
        <w:ind w:firstLine="562" w:firstLineChars="200"/>
        <w:rPr>
          <w:rFonts w:ascii="宋体" w:hAnsi="宋体"/>
          <w:b/>
          <w:color w:val="auto"/>
          <w:sz w:val="28"/>
          <w:szCs w:val="28"/>
        </w:rPr>
      </w:pPr>
      <w:r>
        <w:rPr>
          <w:rFonts w:ascii="宋体" w:hAnsi="宋体"/>
          <w:b/>
          <w:color w:val="auto"/>
          <w:sz w:val="28"/>
          <w:szCs w:val="28"/>
        </w:rPr>
        <w:t>2</w:t>
      </w:r>
      <w:r>
        <w:rPr>
          <w:rFonts w:hint="eastAsia" w:ascii="宋体" w:hAnsi="宋体"/>
          <w:b/>
          <w:color w:val="auto"/>
          <w:sz w:val="28"/>
          <w:szCs w:val="28"/>
        </w:rPr>
        <w:t>.博士预科课程开班时间</w:t>
      </w:r>
    </w:p>
    <w:p>
      <w:pPr>
        <w:pStyle w:val="7"/>
        <w:numPr>
          <w:ilvl w:val="0"/>
          <w:numId w:val="3"/>
        </w:numPr>
        <w:spacing w:line="360" w:lineRule="auto"/>
        <w:ind w:firstLineChars="0"/>
        <w:rPr>
          <w:rFonts w:hint="eastAsia" w:ascii="宋体" w:hAnsi="宋体"/>
          <w:color w:val="auto"/>
          <w:sz w:val="24"/>
          <w:szCs w:val="24"/>
        </w:rPr>
      </w:pPr>
      <w:r>
        <w:rPr>
          <w:rFonts w:hint="eastAsia" w:ascii="宋体" w:hAnsi="宋体"/>
          <w:color w:val="auto"/>
          <w:sz w:val="24"/>
          <w:szCs w:val="24"/>
        </w:rPr>
        <w:t>每年1月、</w:t>
      </w:r>
      <w:r>
        <w:rPr>
          <w:rFonts w:hint="eastAsia" w:ascii="宋体" w:hAnsi="宋体"/>
          <w:color w:val="auto"/>
          <w:sz w:val="24"/>
          <w:szCs w:val="24"/>
          <w:lang w:val="en-US" w:eastAsia="zh-CN"/>
        </w:rPr>
        <w:t>5月、9</w:t>
      </w:r>
      <w:r>
        <w:rPr>
          <w:rFonts w:hint="eastAsia" w:ascii="宋体" w:hAnsi="宋体"/>
          <w:color w:val="auto"/>
          <w:sz w:val="24"/>
          <w:szCs w:val="24"/>
        </w:rPr>
        <w:t>月固定开班。上课时间为</w:t>
      </w:r>
      <w:r>
        <w:rPr>
          <w:rFonts w:hint="eastAsia" w:ascii="宋体" w:hAnsi="宋体"/>
          <w:color w:val="auto"/>
          <w:sz w:val="24"/>
          <w:szCs w:val="24"/>
          <w:lang w:val="en-US" w:eastAsia="zh-CN"/>
        </w:rPr>
        <w:t>每</w:t>
      </w:r>
      <w:r>
        <w:rPr>
          <w:rFonts w:hint="eastAsia" w:ascii="宋体" w:hAnsi="宋体"/>
          <w:color w:val="auto"/>
          <w:sz w:val="24"/>
          <w:szCs w:val="24"/>
        </w:rPr>
        <w:t>周六全天</w:t>
      </w:r>
      <w:r>
        <w:rPr>
          <w:rFonts w:hint="eastAsia" w:ascii="宋体" w:hAnsi="宋体"/>
          <w:color w:val="auto"/>
          <w:sz w:val="24"/>
          <w:szCs w:val="24"/>
          <w:lang w:val="en-US" w:eastAsia="zh-CN"/>
        </w:rPr>
        <w:t>及周日上午，</w:t>
      </w:r>
      <w:r>
        <w:rPr>
          <w:rFonts w:hint="eastAsia" w:ascii="宋体" w:hAnsi="宋体"/>
          <w:color w:val="auto"/>
          <w:sz w:val="24"/>
          <w:szCs w:val="24"/>
        </w:rPr>
        <w:t>上课地点</w:t>
      </w:r>
      <w:r>
        <w:rPr>
          <w:rFonts w:hint="eastAsia" w:ascii="宋体" w:hAnsi="宋体"/>
          <w:color w:val="auto"/>
          <w:sz w:val="24"/>
          <w:szCs w:val="24"/>
          <w:lang w:eastAsia="zh-CN"/>
        </w:rPr>
        <w:t>为</w:t>
      </w:r>
      <w:r>
        <w:rPr>
          <w:rFonts w:hint="eastAsia" w:ascii="宋体" w:hAnsi="宋体"/>
          <w:color w:val="auto"/>
          <w:sz w:val="24"/>
          <w:szCs w:val="24"/>
        </w:rPr>
        <w:t>成都信息工程大学航空港校区。</w:t>
      </w:r>
    </w:p>
    <w:p>
      <w:pPr>
        <w:pStyle w:val="7"/>
        <w:spacing w:line="360" w:lineRule="auto"/>
        <w:rPr>
          <w:rFonts w:ascii="宋体" w:hAnsi="宋体"/>
          <w:color w:val="auto"/>
          <w:sz w:val="24"/>
          <w:szCs w:val="24"/>
        </w:rPr>
      </w:pPr>
      <w:r>
        <w:rPr>
          <w:rFonts w:ascii="宋体" w:hAnsi="宋体"/>
          <w:b/>
          <w:color w:val="auto"/>
          <w:sz w:val="28"/>
          <w:szCs w:val="28"/>
        </w:rPr>
        <w:t>3</w:t>
      </w:r>
      <w:r>
        <w:rPr>
          <w:rFonts w:hint="eastAsia" w:ascii="宋体" w:hAnsi="宋体"/>
          <w:b/>
          <w:color w:val="auto"/>
          <w:sz w:val="28"/>
          <w:szCs w:val="28"/>
        </w:rPr>
        <w:t>. 博士项目开学时间</w:t>
      </w:r>
    </w:p>
    <w:p>
      <w:pPr>
        <w:pStyle w:val="7"/>
        <w:spacing w:line="360" w:lineRule="auto"/>
        <w:rPr>
          <w:rFonts w:ascii="宋体" w:hAnsi="宋体"/>
          <w:color w:val="auto"/>
          <w:sz w:val="24"/>
          <w:szCs w:val="24"/>
        </w:rPr>
      </w:pPr>
      <w:r>
        <w:rPr>
          <w:rFonts w:hint="eastAsia" w:ascii="宋体" w:hAnsi="宋体"/>
          <w:color w:val="auto"/>
          <w:sz w:val="24"/>
          <w:szCs w:val="24"/>
        </w:rPr>
        <w:t>该博士项目一年有三次入学</w:t>
      </w:r>
      <w:r>
        <w:rPr>
          <w:rFonts w:hint="eastAsia" w:ascii="宋体" w:hAnsi="宋体"/>
          <w:color w:val="auto"/>
          <w:sz w:val="24"/>
          <w:szCs w:val="24"/>
          <w:lang w:eastAsia="zh-CN"/>
        </w:rPr>
        <w:t>时间</w:t>
      </w:r>
      <w:r>
        <w:rPr>
          <w:rFonts w:hint="eastAsia" w:ascii="宋体" w:hAnsi="宋体"/>
          <w:color w:val="auto"/>
          <w:sz w:val="24"/>
          <w:szCs w:val="24"/>
        </w:rPr>
        <w:t>，分别于每年的</w:t>
      </w:r>
      <w:r>
        <w:rPr>
          <w:rFonts w:hint="eastAsia" w:ascii="宋体" w:hAnsi="宋体"/>
          <w:color w:val="auto"/>
          <w:sz w:val="24"/>
          <w:szCs w:val="24"/>
          <w:lang w:val="en-US" w:eastAsia="zh-CN"/>
        </w:rPr>
        <w:t>2</w:t>
      </w:r>
      <w:r>
        <w:rPr>
          <w:rFonts w:hint="eastAsia" w:ascii="宋体" w:hAnsi="宋体"/>
          <w:color w:val="auto"/>
          <w:sz w:val="24"/>
          <w:szCs w:val="24"/>
        </w:rPr>
        <w:t>月、</w:t>
      </w:r>
      <w:r>
        <w:rPr>
          <w:rFonts w:hint="eastAsia" w:ascii="宋体" w:hAnsi="宋体"/>
          <w:color w:val="auto"/>
          <w:sz w:val="24"/>
          <w:szCs w:val="24"/>
          <w:lang w:val="en-US" w:eastAsia="zh-CN"/>
        </w:rPr>
        <w:t>6</w:t>
      </w:r>
      <w:r>
        <w:rPr>
          <w:rFonts w:hint="eastAsia" w:ascii="宋体" w:hAnsi="宋体"/>
          <w:color w:val="auto"/>
          <w:sz w:val="24"/>
          <w:szCs w:val="24"/>
        </w:rPr>
        <w:t>月、</w:t>
      </w:r>
      <w:r>
        <w:rPr>
          <w:rFonts w:hint="eastAsia" w:ascii="宋体" w:hAnsi="宋体"/>
          <w:color w:val="auto"/>
          <w:sz w:val="24"/>
          <w:szCs w:val="24"/>
          <w:lang w:val="en-US" w:eastAsia="zh-CN"/>
        </w:rPr>
        <w:t>10</w:t>
      </w:r>
      <w:r>
        <w:rPr>
          <w:rFonts w:hint="eastAsia" w:ascii="宋体" w:hAnsi="宋体"/>
          <w:color w:val="auto"/>
          <w:sz w:val="24"/>
          <w:szCs w:val="24"/>
        </w:rPr>
        <w:t>月在英国入学开课。</w:t>
      </w:r>
    </w:p>
    <w:p>
      <w:pPr>
        <w:spacing w:before="156" w:beforeLines="50" w:after="156" w:afterLines="50" w:line="420" w:lineRule="exact"/>
        <w:rPr>
          <w:rFonts w:hint="eastAsia" w:ascii="宋体" w:hAnsi="宋体"/>
          <w:b/>
          <w:color w:val="auto"/>
          <w:sz w:val="28"/>
          <w:szCs w:val="28"/>
        </w:rPr>
      </w:pPr>
    </w:p>
    <w:p>
      <w:pPr>
        <w:numPr>
          <w:ilvl w:val="0"/>
          <w:numId w:val="4"/>
        </w:numPr>
        <w:spacing w:before="156" w:beforeLines="50" w:after="156" w:afterLines="50" w:line="420" w:lineRule="exact"/>
        <w:ind w:firstLine="562" w:firstLineChars="200"/>
        <w:rPr>
          <w:rFonts w:hint="eastAsia" w:ascii="宋体" w:hAnsi="宋体"/>
          <w:b/>
          <w:color w:val="auto"/>
          <w:sz w:val="28"/>
          <w:szCs w:val="28"/>
        </w:rPr>
      </w:pPr>
      <w:r>
        <w:rPr>
          <w:rFonts w:hint="eastAsia" w:ascii="宋体" w:hAnsi="宋体"/>
          <w:b/>
          <w:color w:val="auto"/>
          <w:sz w:val="28"/>
          <w:szCs w:val="28"/>
        </w:rPr>
        <w:t>报名</w:t>
      </w:r>
    </w:p>
    <w:p>
      <w:pPr>
        <w:numPr>
          <w:ilvl w:val="0"/>
          <w:numId w:val="0"/>
        </w:numPr>
        <w:spacing w:before="156" w:beforeLines="50" w:after="156" w:afterLines="50" w:line="420" w:lineRule="exact"/>
        <w:ind w:firstLine="562" w:firstLineChars="200"/>
        <w:rPr>
          <w:rFonts w:ascii="宋体" w:hAnsi="宋体"/>
          <w:b/>
          <w:color w:val="auto"/>
          <w:sz w:val="28"/>
          <w:szCs w:val="28"/>
        </w:rPr>
      </w:pPr>
      <w:r>
        <w:rPr>
          <w:rFonts w:ascii="宋体" w:hAnsi="宋体"/>
          <w:b/>
          <w:color w:val="auto"/>
          <w:sz w:val="28"/>
          <w:szCs w:val="28"/>
        </w:rPr>
        <w:t>1</w:t>
      </w:r>
      <w:r>
        <w:rPr>
          <w:rFonts w:hint="eastAsia" w:ascii="宋体" w:hAnsi="宋体"/>
          <w:b/>
          <w:color w:val="auto"/>
          <w:sz w:val="28"/>
          <w:szCs w:val="28"/>
        </w:rPr>
        <w:t>.报名时间</w:t>
      </w:r>
    </w:p>
    <w:p>
      <w:pPr>
        <w:pStyle w:val="7"/>
        <w:numPr>
          <w:ilvl w:val="0"/>
          <w:numId w:val="5"/>
        </w:numPr>
        <w:spacing w:line="360" w:lineRule="auto"/>
        <w:ind w:firstLineChars="0"/>
        <w:rPr>
          <w:rFonts w:ascii="宋体" w:hAnsi="宋体"/>
          <w:color w:val="auto"/>
          <w:sz w:val="24"/>
          <w:szCs w:val="24"/>
        </w:rPr>
      </w:pPr>
      <w:r>
        <w:rPr>
          <w:rFonts w:hint="eastAsia" w:ascii="宋体" w:hAnsi="宋体"/>
          <w:color w:val="auto"/>
          <w:sz w:val="24"/>
          <w:szCs w:val="24"/>
        </w:rPr>
        <w:t>全年工作日期间均可报名。</w:t>
      </w:r>
    </w:p>
    <w:p>
      <w:pPr>
        <w:spacing w:line="360" w:lineRule="auto"/>
        <w:ind w:firstLine="562" w:firstLineChars="200"/>
        <w:rPr>
          <w:rFonts w:ascii="宋体" w:hAnsi="宋体"/>
          <w:b/>
          <w:color w:val="auto"/>
          <w:sz w:val="28"/>
          <w:szCs w:val="28"/>
        </w:rPr>
      </w:pPr>
      <w:r>
        <w:rPr>
          <w:rFonts w:ascii="宋体" w:hAnsi="宋体"/>
          <w:b/>
          <w:color w:val="auto"/>
          <w:sz w:val="28"/>
          <w:szCs w:val="28"/>
        </w:rPr>
        <w:t>2</w:t>
      </w:r>
      <w:r>
        <w:rPr>
          <w:rFonts w:hint="eastAsia" w:ascii="宋体" w:hAnsi="宋体"/>
          <w:b/>
          <w:color w:val="auto"/>
          <w:sz w:val="28"/>
          <w:szCs w:val="28"/>
        </w:rPr>
        <w:t>.报名地点</w:t>
      </w:r>
    </w:p>
    <w:p>
      <w:pPr>
        <w:pStyle w:val="7"/>
        <w:numPr>
          <w:ilvl w:val="0"/>
          <w:numId w:val="5"/>
        </w:numPr>
        <w:spacing w:line="360" w:lineRule="auto"/>
        <w:ind w:firstLineChars="0"/>
        <w:rPr>
          <w:rFonts w:ascii="宋体" w:hAnsi="宋体"/>
          <w:color w:val="auto"/>
          <w:sz w:val="24"/>
          <w:szCs w:val="24"/>
        </w:rPr>
      </w:pPr>
      <w:r>
        <w:rPr>
          <w:rFonts w:hint="eastAsia" w:ascii="宋体" w:hAnsi="宋体"/>
          <w:color w:val="auto"/>
          <w:sz w:val="24"/>
          <w:szCs w:val="24"/>
        </w:rPr>
        <w:t>四川省成都市西南航空港经济开发区学府路一段24号（成都信息工程大学信息楼1</w:t>
      </w:r>
      <w:r>
        <w:rPr>
          <w:rFonts w:ascii="宋体" w:hAnsi="宋体"/>
          <w:color w:val="auto"/>
          <w:sz w:val="24"/>
          <w:szCs w:val="24"/>
        </w:rPr>
        <w:t>17</w:t>
      </w:r>
      <w:r>
        <w:rPr>
          <w:rFonts w:hint="eastAsia" w:ascii="宋体" w:hAnsi="宋体"/>
          <w:color w:val="auto"/>
          <w:sz w:val="24"/>
          <w:szCs w:val="24"/>
        </w:rPr>
        <w:t>室）联系人：刘老师，联系电话：13558890110</w:t>
      </w:r>
    </w:p>
    <w:p>
      <w:pPr>
        <w:pStyle w:val="7"/>
        <w:numPr>
          <w:ilvl w:val="0"/>
          <w:numId w:val="5"/>
        </w:numPr>
        <w:spacing w:line="360" w:lineRule="auto"/>
        <w:ind w:firstLineChars="0"/>
        <w:rPr>
          <w:rFonts w:ascii="宋体" w:hAnsi="宋体"/>
          <w:b/>
          <w:color w:val="auto"/>
          <w:sz w:val="28"/>
          <w:szCs w:val="28"/>
        </w:rPr>
      </w:pPr>
      <w:r>
        <w:rPr>
          <w:rFonts w:hint="eastAsia" w:ascii="宋体" w:hAnsi="宋体"/>
          <w:color w:val="auto"/>
          <w:sz w:val="24"/>
          <w:szCs w:val="24"/>
        </w:rPr>
        <w:t>四川省成都市龙泉驿区同安幸福路1</w:t>
      </w:r>
      <w:r>
        <w:rPr>
          <w:rFonts w:ascii="宋体" w:hAnsi="宋体"/>
          <w:color w:val="auto"/>
          <w:sz w:val="24"/>
          <w:szCs w:val="24"/>
        </w:rPr>
        <w:t>0</w:t>
      </w:r>
      <w:r>
        <w:rPr>
          <w:rFonts w:hint="eastAsia" w:ascii="宋体" w:hAnsi="宋体"/>
          <w:color w:val="auto"/>
          <w:sz w:val="24"/>
          <w:szCs w:val="24"/>
        </w:rPr>
        <w:t>号（成都信息工程大学第二行政楼</w:t>
      </w:r>
      <w:r>
        <w:rPr>
          <w:rFonts w:ascii="宋体" w:hAnsi="宋体"/>
          <w:color w:val="auto"/>
          <w:sz w:val="24"/>
          <w:szCs w:val="24"/>
        </w:rPr>
        <w:t>30</w:t>
      </w:r>
      <w:r>
        <w:rPr>
          <w:rFonts w:hint="eastAsia" w:ascii="宋体" w:hAnsi="宋体"/>
          <w:color w:val="auto"/>
          <w:sz w:val="24"/>
          <w:szCs w:val="24"/>
        </w:rPr>
        <w:t>4室）联系人：刘老师，联系电话028-84833031</w:t>
      </w:r>
    </w:p>
    <w:p>
      <w:pPr>
        <w:pStyle w:val="7"/>
        <w:numPr>
          <w:ilvl w:val="0"/>
          <w:numId w:val="0"/>
        </w:numPr>
        <w:spacing w:line="360" w:lineRule="auto"/>
        <w:ind w:firstLine="562" w:firstLineChars="200"/>
        <w:rPr>
          <w:rFonts w:ascii="宋体" w:hAnsi="宋体"/>
          <w:b/>
          <w:color w:val="auto"/>
          <w:sz w:val="28"/>
          <w:szCs w:val="28"/>
        </w:rPr>
      </w:pPr>
      <w:r>
        <w:rPr>
          <w:rFonts w:ascii="宋体" w:hAnsi="宋体"/>
          <w:b/>
          <w:color w:val="auto"/>
          <w:sz w:val="28"/>
          <w:szCs w:val="28"/>
        </w:rPr>
        <w:t>3</w:t>
      </w:r>
      <w:r>
        <w:rPr>
          <w:rFonts w:hint="eastAsia" w:ascii="宋体" w:hAnsi="宋体"/>
          <w:b/>
          <w:color w:val="auto"/>
          <w:sz w:val="28"/>
          <w:szCs w:val="28"/>
        </w:rPr>
        <w:t>.报名程序</w:t>
      </w:r>
    </w:p>
    <w:p>
      <w:pPr>
        <w:pStyle w:val="7"/>
        <w:numPr>
          <w:ilvl w:val="0"/>
          <w:numId w:val="5"/>
        </w:numPr>
        <w:spacing w:line="360" w:lineRule="auto"/>
        <w:ind w:firstLineChars="0"/>
        <w:rPr>
          <w:rFonts w:ascii="宋体" w:hAnsi="宋体"/>
          <w:color w:val="auto"/>
          <w:sz w:val="24"/>
          <w:szCs w:val="24"/>
        </w:rPr>
      </w:pPr>
      <w:r>
        <w:rPr>
          <w:rFonts w:hint="eastAsia" w:ascii="宋体" w:hAnsi="宋体"/>
          <w:color w:val="auto"/>
          <w:sz w:val="24"/>
          <w:szCs w:val="24"/>
        </w:rPr>
        <w:t>报名者需提交以下申请材料：</w:t>
      </w:r>
    </w:p>
    <w:p>
      <w:pPr>
        <w:pStyle w:val="7"/>
        <w:spacing w:line="360" w:lineRule="auto"/>
        <w:ind w:left="1260" w:firstLine="0" w:firstLineChars="0"/>
        <w:rPr>
          <w:rFonts w:ascii="宋体" w:hAnsi="宋体"/>
          <w:color w:val="auto"/>
          <w:sz w:val="24"/>
          <w:szCs w:val="24"/>
        </w:rPr>
      </w:pPr>
      <w:r>
        <w:rPr>
          <w:rFonts w:hint="eastAsia" w:ascii="宋体" w:hAnsi="宋体"/>
          <w:color w:val="auto"/>
          <w:sz w:val="24"/>
          <w:szCs w:val="24"/>
        </w:rPr>
        <w:t>报名申请表（登陆成都信息工程大学官网在线下载）</w:t>
      </w:r>
    </w:p>
    <w:p>
      <w:pPr>
        <w:pStyle w:val="7"/>
        <w:spacing w:line="360" w:lineRule="auto"/>
        <w:ind w:left="1260" w:firstLine="0" w:firstLineChars="0"/>
        <w:rPr>
          <w:rFonts w:ascii="宋体" w:hAnsi="宋体"/>
          <w:color w:val="auto"/>
          <w:sz w:val="24"/>
          <w:szCs w:val="24"/>
        </w:rPr>
      </w:pPr>
      <w:r>
        <w:rPr>
          <w:rFonts w:hint="eastAsia" w:ascii="宋体" w:hAnsi="宋体"/>
          <w:color w:val="auto"/>
          <w:sz w:val="24"/>
          <w:szCs w:val="24"/>
        </w:rPr>
        <w:t>最高学历学位证书原件及复印件</w:t>
      </w:r>
    </w:p>
    <w:p>
      <w:pPr>
        <w:pStyle w:val="7"/>
        <w:spacing w:line="360" w:lineRule="auto"/>
        <w:ind w:left="1260" w:firstLine="0" w:firstLineChars="0"/>
        <w:rPr>
          <w:rFonts w:ascii="宋体" w:hAnsi="宋体"/>
          <w:color w:val="auto"/>
          <w:sz w:val="24"/>
          <w:szCs w:val="24"/>
        </w:rPr>
      </w:pPr>
      <w:r>
        <w:rPr>
          <w:rFonts w:hint="eastAsia" w:ascii="宋体" w:hAnsi="宋体"/>
          <w:color w:val="auto"/>
          <w:sz w:val="24"/>
          <w:szCs w:val="24"/>
        </w:rPr>
        <w:t>身份证原件及复印件</w:t>
      </w:r>
    </w:p>
    <w:p>
      <w:pPr>
        <w:pStyle w:val="7"/>
        <w:spacing w:line="360" w:lineRule="auto"/>
        <w:ind w:left="1260" w:firstLine="0" w:firstLineChars="0"/>
        <w:rPr>
          <w:rFonts w:hint="eastAsia" w:ascii="宋体" w:hAnsi="宋体"/>
          <w:color w:val="auto"/>
          <w:sz w:val="24"/>
          <w:szCs w:val="24"/>
        </w:rPr>
      </w:pPr>
      <w:r>
        <w:rPr>
          <w:rFonts w:hint="eastAsia" w:ascii="宋体" w:hAnsi="宋体"/>
          <w:color w:val="auto"/>
          <w:sz w:val="24"/>
          <w:szCs w:val="24"/>
        </w:rPr>
        <w:t>一寸彩色证照3张</w:t>
      </w:r>
    </w:p>
    <w:p>
      <w:pPr>
        <w:pStyle w:val="7"/>
        <w:spacing w:line="360" w:lineRule="auto"/>
        <w:ind w:left="1260" w:firstLine="0" w:firstLineChars="0"/>
        <w:rPr>
          <w:rFonts w:hint="eastAsia" w:ascii="宋体" w:hAnsi="宋体"/>
          <w:color w:val="auto"/>
          <w:sz w:val="24"/>
          <w:szCs w:val="24"/>
        </w:rPr>
      </w:pPr>
    </w:p>
    <w:p>
      <w:pPr>
        <w:pStyle w:val="7"/>
        <w:spacing w:line="360" w:lineRule="auto"/>
        <w:ind w:left="0" w:leftChars="0" w:firstLine="562" w:firstLineChars="200"/>
        <w:rPr>
          <w:b/>
          <w:color w:val="auto"/>
          <w:sz w:val="28"/>
          <w:szCs w:val="28"/>
        </w:rPr>
      </w:pPr>
      <w:r>
        <w:rPr>
          <w:rFonts w:hint="eastAsia"/>
          <w:b/>
          <w:color w:val="auto"/>
          <w:sz w:val="28"/>
          <w:szCs w:val="28"/>
        </w:rPr>
        <w:t>七、录取</w:t>
      </w:r>
    </w:p>
    <w:p>
      <w:pPr>
        <w:pStyle w:val="7"/>
        <w:numPr>
          <w:ilvl w:val="0"/>
          <w:numId w:val="5"/>
        </w:numPr>
        <w:spacing w:line="360" w:lineRule="auto"/>
        <w:ind w:firstLineChars="0"/>
        <w:rPr>
          <w:rFonts w:ascii="宋体" w:hAnsi="宋体"/>
          <w:color w:val="auto"/>
          <w:sz w:val="24"/>
          <w:szCs w:val="24"/>
        </w:rPr>
      </w:pPr>
      <w:r>
        <w:rPr>
          <w:rFonts w:hint="eastAsia" w:ascii="宋体" w:hAnsi="宋体"/>
          <w:color w:val="auto"/>
          <w:sz w:val="24"/>
          <w:szCs w:val="24"/>
        </w:rPr>
        <w:t>由中外双方大学联合负责学员录取资格审查。</w:t>
      </w:r>
    </w:p>
    <w:p>
      <w:pPr>
        <w:pStyle w:val="7"/>
        <w:numPr>
          <w:ilvl w:val="0"/>
          <w:numId w:val="6"/>
        </w:numPr>
        <w:spacing w:line="360" w:lineRule="auto"/>
        <w:ind w:firstLineChars="0"/>
        <w:rPr>
          <w:rFonts w:ascii="宋体" w:hAnsi="宋体"/>
          <w:color w:val="auto"/>
          <w:sz w:val="24"/>
          <w:szCs w:val="24"/>
        </w:rPr>
      </w:pPr>
      <w:r>
        <w:rPr>
          <w:rFonts w:hint="eastAsia" w:ascii="宋体" w:hAnsi="宋体"/>
          <w:color w:val="auto"/>
          <w:sz w:val="24"/>
          <w:szCs w:val="24"/>
        </w:rPr>
        <w:t>满足其他申请条件，但语言成绩未达要求者，由成都信息工程大学发放博士预科录取通知书，需参加语言强化培训，直至雅思成绩达6</w:t>
      </w:r>
      <w:r>
        <w:rPr>
          <w:rFonts w:ascii="宋体" w:hAnsi="宋体"/>
          <w:color w:val="auto"/>
          <w:sz w:val="24"/>
          <w:szCs w:val="24"/>
        </w:rPr>
        <w:t>.0</w:t>
      </w:r>
      <w:r>
        <w:rPr>
          <w:rFonts w:hint="eastAsia" w:ascii="宋体" w:hAnsi="宋体"/>
          <w:color w:val="auto"/>
          <w:sz w:val="24"/>
          <w:szCs w:val="24"/>
        </w:rPr>
        <w:t>分或通过W</w:t>
      </w:r>
      <w:r>
        <w:rPr>
          <w:rFonts w:ascii="宋体" w:hAnsi="宋体"/>
          <w:color w:val="auto"/>
          <w:sz w:val="24"/>
          <w:szCs w:val="24"/>
        </w:rPr>
        <w:t xml:space="preserve">ALES ALT </w:t>
      </w:r>
      <w:r>
        <w:rPr>
          <w:rFonts w:hint="eastAsia" w:ascii="宋体" w:hAnsi="宋体"/>
          <w:color w:val="auto"/>
          <w:sz w:val="24"/>
          <w:szCs w:val="24"/>
        </w:rPr>
        <w:t>test后（参见《威尔士三一圣大卫大学语言内测（W</w:t>
      </w:r>
      <w:r>
        <w:rPr>
          <w:rFonts w:ascii="宋体" w:hAnsi="宋体"/>
          <w:color w:val="auto"/>
          <w:sz w:val="24"/>
          <w:szCs w:val="24"/>
        </w:rPr>
        <w:t>ALES ALT</w:t>
      </w:r>
      <w:r>
        <w:rPr>
          <w:rFonts w:hint="eastAsia" w:ascii="宋体" w:hAnsi="宋体"/>
          <w:color w:val="auto"/>
          <w:sz w:val="24"/>
          <w:szCs w:val="24"/>
        </w:rPr>
        <w:t>）考试办法》），方可申请威尔士三一圣大卫大学博士项目。</w:t>
      </w:r>
    </w:p>
    <w:p>
      <w:pPr>
        <w:pStyle w:val="7"/>
        <w:numPr>
          <w:ilvl w:val="0"/>
          <w:numId w:val="6"/>
        </w:numPr>
        <w:spacing w:line="360" w:lineRule="auto"/>
        <w:ind w:firstLineChars="0"/>
        <w:rPr>
          <w:rFonts w:ascii="宋体" w:hAnsi="宋体"/>
          <w:color w:val="auto"/>
          <w:sz w:val="24"/>
          <w:szCs w:val="24"/>
        </w:rPr>
      </w:pPr>
      <w:r>
        <w:rPr>
          <w:rFonts w:hint="eastAsia" w:ascii="宋体" w:hAnsi="宋体"/>
          <w:color w:val="auto"/>
          <w:sz w:val="24"/>
          <w:szCs w:val="24"/>
        </w:rPr>
        <w:t>满足全部申请条件，且雅思成绩或W</w:t>
      </w:r>
      <w:r>
        <w:rPr>
          <w:rFonts w:ascii="宋体" w:hAnsi="宋体"/>
          <w:color w:val="auto"/>
          <w:sz w:val="24"/>
          <w:szCs w:val="24"/>
        </w:rPr>
        <w:t xml:space="preserve">ALES ALT </w:t>
      </w:r>
      <w:r>
        <w:rPr>
          <w:rFonts w:hint="eastAsia" w:ascii="宋体" w:hAnsi="宋体"/>
          <w:color w:val="auto"/>
          <w:sz w:val="24"/>
          <w:szCs w:val="24"/>
        </w:rPr>
        <w:t>test成绩合格者，可直接申请博士项目，通过资格审查后，由威尔士三一圣大卫大学发放博士项目录取通知书。</w:t>
      </w:r>
    </w:p>
    <w:p>
      <w:pPr>
        <w:pStyle w:val="7"/>
        <w:numPr>
          <w:ilvl w:val="0"/>
          <w:numId w:val="0"/>
        </w:numPr>
        <w:spacing w:line="360" w:lineRule="auto"/>
        <w:ind w:left="840" w:leftChars="0"/>
        <w:rPr>
          <w:rFonts w:ascii="宋体" w:hAnsi="宋体"/>
          <w:color w:val="auto"/>
          <w:sz w:val="24"/>
          <w:szCs w:val="24"/>
        </w:rPr>
      </w:pPr>
    </w:p>
    <w:p>
      <w:pPr>
        <w:spacing w:before="156" w:beforeLines="50" w:after="156" w:afterLines="50" w:line="380" w:lineRule="exact"/>
        <w:ind w:firstLine="843" w:firstLineChars="300"/>
        <w:rPr>
          <w:rFonts w:ascii="宋体" w:hAnsi="宋体"/>
          <w:b/>
          <w:color w:val="auto"/>
          <w:sz w:val="28"/>
          <w:szCs w:val="28"/>
        </w:rPr>
      </w:pPr>
      <w:r>
        <w:rPr>
          <w:rFonts w:hint="eastAsia" w:ascii="宋体" w:hAnsi="宋体"/>
          <w:b/>
          <w:color w:val="auto"/>
          <w:sz w:val="28"/>
          <w:szCs w:val="28"/>
        </w:rPr>
        <w:t>八、项目优势</w:t>
      </w:r>
    </w:p>
    <w:p>
      <w:pPr>
        <w:pStyle w:val="2"/>
        <w:numPr>
          <w:ilvl w:val="0"/>
          <w:numId w:val="7"/>
        </w:numPr>
        <w:spacing w:before="0" w:beforeAutospacing="0" w:after="0" w:afterAutospacing="0" w:line="460" w:lineRule="exact"/>
        <w:rPr>
          <w:b/>
          <w:color w:val="auto"/>
        </w:rPr>
      </w:pPr>
      <w:r>
        <w:rPr>
          <w:rFonts w:hint="eastAsia"/>
          <w:b/>
          <w:color w:val="auto"/>
        </w:rPr>
        <w:t>国内国外学习，享受国外留学待遇</w:t>
      </w:r>
    </w:p>
    <w:p>
      <w:pPr>
        <w:pStyle w:val="2"/>
        <w:spacing w:before="0" w:beforeAutospacing="0" w:after="0" w:afterAutospacing="0" w:line="460" w:lineRule="exact"/>
        <w:ind w:left="1155" w:leftChars="550"/>
        <w:rPr>
          <w:color w:val="auto"/>
        </w:rPr>
      </w:pPr>
      <w:r>
        <w:rPr>
          <w:rFonts w:hint="eastAsia"/>
          <w:color w:val="auto"/>
        </w:rPr>
        <w:t>博士项目一年在英国学习，研究与论文可选择在英国、中国或其他国家根据研究需要进行，既可以享受到</w:t>
      </w:r>
      <w:r>
        <w:rPr>
          <w:color w:val="auto"/>
        </w:rPr>
        <w:t>英国</w:t>
      </w:r>
      <w:r>
        <w:rPr>
          <w:rFonts w:hint="eastAsia"/>
          <w:color w:val="auto"/>
        </w:rPr>
        <w:t>盛誉</w:t>
      </w:r>
      <w:r>
        <w:rPr>
          <w:color w:val="auto"/>
        </w:rPr>
        <w:t>全球</w:t>
      </w:r>
      <w:r>
        <w:rPr>
          <w:rFonts w:hint="eastAsia"/>
          <w:color w:val="auto"/>
        </w:rPr>
        <w:t>的高等</w:t>
      </w:r>
      <w:r>
        <w:rPr>
          <w:color w:val="auto"/>
        </w:rPr>
        <w:t>教育</w:t>
      </w:r>
      <w:r>
        <w:rPr>
          <w:rFonts w:hint="eastAsia"/>
          <w:color w:val="auto"/>
        </w:rPr>
        <w:t>品质，又可以降低投入，获得优质且更加方便的学习时间和空间。</w:t>
      </w:r>
    </w:p>
    <w:p>
      <w:pPr>
        <w:pStyle w:val="7"/>
        <w:numPr>
          <w:ilvl w:val="0"/>
          <w:numId w:val="7"/>
        </w:numPr>
        <w:spacing w:line="460" w:lineRule="exact"/>
        <w:ind w:firstLineChars="0"/>
        <w:rPr>
          <w:rFonts w:ascii="宋体" w:hAnsi="宋体"/>
          <w:b/>
          <w:color w:val="auto"/>
          <w:sz w:val="24"/>
          <w:szCs w:val="24"/>
        </w:rPr>
      </w:pPr>
      <w:r>
        <w:rPr>
          <w:rFonts w:hint="eastAsia" w:ascii="宋体" w:hAnsi="宋体"/>
          <w:b/>
          <w:color w:val="auto"/>
          <w:sz w:val="24"/>
          <w:szCs w:val="24"/>
        </w:rPr>
        <w:t>低投入，高回报</w:t>
      </w:r>
    </w:p>
    <w:p>
      <w:pPr>
        <w:pStyle w:val="2"/>
        <w:numPr>
          <w:ilvl w:val="0"/>
          <w:numId w:val="0"/>
        </w:numPr>
        <w:spacing w:before="0" w:beforeAutospacing="0" w:after="0" w:afterAutospacing="0" w:line="460" w:lineRule="exact"/>
        <w:ind w:left="1186" w:leftChars="565" w:firstLine="0" w:firstLineChars="0"/>
        <w:rPr>
          <w:color w:val="auto"/>
        </w:rPr>
      </w:pPr>
      <w:r>
        <w:rPr>
          <w:rFonts w:hint="eastAsia"/>
          <w:color w:val="auto"/>
        </w:rPr>
        <w:t>博士项目一年在英国学习，研究与论文可选择在英国、中国或其他国家根据研究需要进行，既可以享受到英国盛誉全球的高等教育品质，又可以降低投入，获得优质且更加方便的学习时间和空间。</w:t>
      </w:r>
    </w:p>
    <w:p>
      <w:pPr>
        <w:pStyle w:val="2"/>
        <w:numPr>
          <w:ilvl w:val="0"/>
          <w:numId w:val="7"/>
        </w:numPr>
        <w:spacing w:before="0" w:beforeAutospacing="0" w:after="0" w:afterAutospacing="0" w:line="460" w:lineRule="exact"/>
        <w:rPr>
          <w:b/>
          <w:color w:val="auto"/>
        </w:rPr>
      </w:pPr>
      <w:r>
        <w:rPr>
          <w:rFonts w:hint="eastAsia"/>
          <w:b/>
          <w:color w:val="auto"/>
        </w:rPr>
        <w:t>双导师联合论文指导，中外师资优势互补</w:t>
      </w:r>
    </w:p>
    <w:p>
      <w:pPr>
        <w:spacing w:line="460" w:lineRule="exact"/>
        <w:ind w:left="1155" w:leftChars="550"/>
        <w:rPr>
          <w:rFonts w:ascii="宋体" w:hAnsi="宋体"/>
          <w:color w:val="auto"/>
          <w:sz w:val="24"/>
          <w:szCs w:val="24"/>
        </w:rPr>
      </w:pPr>
      <w:r>
        <w:rPr>
          <w:rFonts w:hint="eastAsia" w:ascii="宋体" w:hAnsi="宋体"/>
          <w:color w:val="auto"/>
          <w:sz w:val="24"/>
          <w:szCs w:val="24"/>
        </w:rPr>
        <w:t>国际化和多元化的师资结构，中外管理理论与实践的交融碰撞，中外师生之间的有效互动和充分交流，获得高品质学习体验。</w:t>
      </w:r>
    </w:p>
    <w:p>
      <w:pPr>
        <w:pStyle w:val="2"/>
        <w:numPr>
          <w:ilvl w:val="0"/>
          <w:numId w:val="7"/>
        </w:numPr>
        <w:spacing w:before="0" w:beforeAutospacing="0" w:after="0" w:afterAutospacing="0" w:line="460" w:lineRule="exact"/>
        <w:rPr>
          <w:b/>
          <w:color w:val="auto"/>
        </w:rPr>
      </w:pPr>
      <w:r>
        <w:rPr>
          <w:rFonts w:hint="eastAsia"/>
          <w:b/>
          <w:color w:val="auto"/>
        </w:rPr>
        <w:t>共享国际化的精英校友资源</w:t>
      </w:r>
    </w:p>
    <w:p>
      <w:pPr>
        <w:spacing w:line="460" w:lineRule="exact"/>
        <w:ind w:left="1155" w:leftChars="550"/>
        <w:rPr>
          <w:rFonts w:ascii="宋体" w:hAnsi="宋体"/>
          <w:color w:val="auto"/>
          <w:sz w:val="24"/>
          <w:szCs w:val="24"/>
        </w:rPr>
      </w:pPr>
      <w:r>
        <w:rPr>
          <w:rFonts w:hint="eastAsia" w:ascii="宋体" w:hAnsi="宋体"/>
          <w:color w:val="auto"/>
          <w:sz w:val="24"/>
          <w:szCs w:val="24"/>
        </w:rPr>
        <w:t>学习和分享知识的同时，接同窗情谊，共享中外精英校友平台。</w:t>
      </w:r>
    </w:p>
    <w:p>
      <w:pPr>
        <w:pStyle w:val="2"/>
        <w:numPr>
          <w:ilvl w:val="0"/>
          <w:numId w:val="7"/>
        </w:numPr>
        <w:spacing w:before="0" w:beforeAutospacing="0" w:after="0" w:afterAutospacing="0" w:line="460" w:lineRule="exact"/>
        <w:rPr>
          <w:b/>
          <w:color w:val="auto"/>
        </w:rPr>
      </w:pPr>
      <w:r>
        <w:rPr>
          <w:rFonts w:hint="eastAsia"/>
          <w:b/>
          <w:color w:val="auto"/>
        </w:rPr>
        <w:t>高端论道，把握前沿</w:t>
      </w:r>
      <w:r>
        <w:rPr>
          <w:b/>
          <w:color w:val="auto"/>
        </w:rPr>
        <w:t xml:space="preserve"> </w:t>
      </w:r>
    </w:p>
    <w:p>
      <w:pPr>
        <w:spacing w:line="460" w:lineRule="exact"/>
        <w:ind w:left="1155" w:leftChars="550"/>
        <w:rPr>
          <w:rFonts w:ascii="宋体" w:hAnsi="宋体"/>
          <w:color w:val="auto"/>
          <w:sz w:val="24"/>
          <w:szCs w:val="24"/>
        </w:rPr>
      </w:pPr>
      <w:r>
        <w:rPr>
          <w:rFonts w:hint="eastAsia" w:ascii="宋体" w:hAnsi="宋体"/>
          <w:color w:val="auto"/>
          <w:sz w:val="24"/>
          <w:szCs w:val="24"/>
        </w:rPr>
        <w:t>中外知名教授、产业精英、企业家等走进课堂分享管理观点，提供真实案例，点评管理成败，开拓国际视野。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0A2297"/>
    <w:multiLevelType w:val="singleLevel"/>
    <w:tmpl w:val="DD0A2297"/>
    <w:lvl w:ilvl="0" w:tentative="0">
      <w:start w:val="6"/>
      <w:numFmt w:val="chineseCounting"/>
      <w:suff w:val="nothing"/>
      <w:lvlText w:val="%1、"/>
      <w:lvlJc w:val="left"/>
      <w:rPr>
        <w:rFonts w:hint="eastAsia"/>
      </w:rPr>
    </w:lvl>
  </w:abstractNum>
  <w:abstractNum w:abstractNumId="1">
    <w:nsid w:val="04D16EA3"/>
    <w:multiLevelType w:val="multilevel"/>
    <w:tmpl w:val="04D16EA3"/>
    <w:lvl w:ilvl="0" w:tentative="0">
      <w:start w:val="1"/>
      <w:numFmt w:val="bullet"/>
      <w:lvlText w:val=""/>
      <w:lvlJc w:val="left"/>
      <w:pPr>
        <w:ind w:left="1400" w:hanging="420"/>
      </w:pPr>
      <w:rPr>
        <w:rFonts w:hint="default" w:ascii="Wingdings" w:hAnsi="Wingdings"/>
      </w:rPr>
    </w:lvl>
    <w:lvl w:ilvl="1" w:tentative="0">
      <w:start w:val="1"/>
      <w:numFmt w:val="bullet"/>
      <w:lvlText w:val=""/>
      <w:lvlJc w:val="left"/>
      <w:pPr>
        <w:ind w:left="1820" w:hanging="420"/>
      </w:pPr>
      <w:rPr>
        <w:rFonts w:hint="default" w:ascii="Wingdings" w:hAnsi="Wingdings"/>
      </w:rPr>
    </w:lvl>
    <w:lvl w:ilvl="2" w:tentative="0">
      <w:start w:val="1"/>
      <w:numFmt w:val="bullet"/>
      <w:lvlText w:val=""/>
      <w:lvlJc w:val="left"/>
      <w:pPr>
        <w:ind w:left="2240" w:hanging="420"/>
      </w:pPr>
      <w:rPr>
        <w:rFonts w:hint="default" w:ascii="Wingdings" w:hAnsi="Wingdings"/>
      </w:rPr>
    </w:lvl>
    <w:lvl w:ilvl="3" w:tentative="0">
      <w:start w:val="1"/>
      <w:numFmt w:val="bullet"/>
      <w:lvlText w:val=""/>
      <w:lvlJc w:val="left"/>
      <w:pPr>
        <w:ind w:left="2660" w:hanging="420"/>
      </w:pPr>
      <w:rPr>
        <w:rFonts w:hint="default" w:ascii="Wingdings" w:hAnsi="Wingdings"/>
      </w:rPr>
    </w:lvl>
    <w:lvl w:ilvl="4" w:tentative="0">
      <w:start w:val="1"/>
      <w:numFmt w:val="bullet"/>
      <w:lvlText w:val=""/>
      <w:lvlJc w:val="left"/>
      <w:pPr>
        <w:ind w:left="3080" w:hanging="420"/>
      </w:pPr>
      <w:rPr>
        <w:rFonts w:hint="default" w:ascii="Wingdings" w:hAnsi="Wingdings"/>
      </w:rPr>
    </w:lvl>
    <w:lvl w:ilvl="5" w:tentative="0">
      <w:start w:val="1"/>
      <w:numFmt w:val="bullet"/>
      <w:lvlText w:val=""/>
      <w:lvlJc w:val="left"/>
      <w:pPr>
        <w:ind w:left="3500" w:hanging="420"/>
      </w:pPr>
      <w:rPr>
        <w:rFonts w:hint="default" w:ascii="Wingdings" w:hAnsi="Wingdings"/>
      </w:rPr>
    </w:lvl>
    <w:lvl w:ilvl="6" w:tentative="0">
      <w:start w:val="1"/>
      <w:numFmt w:val="bullet"/>
      <w:lvlText w:val=""/>
      <w:lvlJc w:val="left"/>
      <w:pPr>
        <w:ind w:left="3920" w:hanging="420"/>
      </w:pPr>
      <w:rPr>
        <w:rFonts w:hint="default" w:ascii="Wingdings" w:hAnsi="Wingdings"/>
      </w:rPr>
    </w:lvl>
    <w:lvl w:ilvl="7" w:tentative="0">
      <w:start w:val="1"/>
      <w:numFmt w:val="bullet"/>
      <w:lvlText w:val=""/>
      <w:lvlJc w:val="left"/>
      <w:pPr>
        <w:ind w:left="4340" w:hanging="420"/>
      </w:pPr>
      <w:rPr>
        <w:rFonts w:hint="default" w:ascii="Wingdings" w:hAnsi="Wingdings"/>
      </w:rPr>
    </w:lvl>
    <w:lvl w:ilvl="8" w:tentative="0">
      <w:start w:val="1"/>
      <w:numFmt w:val="bullet"/>
      <w:lvlText w:val=""/>
      <w:lvlJc w:val="left"/>
      <w:pPr>
        <w:ind w:left="4760" w:hanging="420"/>
      </w:pPr>
      <w:rPr>
        <w:rFonts w:hint="default" w:ascii="Wingdings" w:hAnsi="Wingdings"/>
      </w:rPr>
    </w:lvl>
  </w:abstractNum>
  <w:abstractNum w:abstractNumId="2">
    <w:nsid w:val="20772307"/>
    <w:multiLevelType w:val="multilevel"/>
    <w:tmpl w:val="20772307"/>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3">
    <w:nsid w:val="3953555B"/>
    <w:multiLevelType w:val="multilevel"/>
    <w:tmpl w:val="3953555B"/>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4">
    <w:nsid w:val="3A493408"/>
    <w:multiLevelType w:val="multilevel"/>
    <w:tmpl w:val="3A493408"/>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5">
    <w:nsid w:val="4F4D0489"/>
    <w:multiLevelType w:val="multilevel"/>
    <w:tmpl w:val="4F4D0489"/>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6">
    <w:nsid w:val="75E700BA"/>
    <w:multiLevelType w:val="multilevel"/>
    <w:tmpl w:val="75E700B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1"/>
  </w:num>
  <w:num w:numId="3">
    <w:abstractNumId w:val="6"/>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C5BEE"/>
    <w:rsid w:val="00052786"/>
    <w:rsid w:val="004E0D77"/>
    <w:rsid w:val="0067517E"/>
    <w:rsid w:val="00DF29BF"/>
    <w:rsid w:val="1A725A00"/>
    <w:rsid w:val="29DC5BEE"/>
    <w:rsid w:val="35C549D4"/>
    <w:rsid w:val="4FEE1172"/>
    <w:rsid w:val="565C688E"/>
    <w:rsid w:val="6D22432F"/>
    <w:rsid w:val="7BB70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5">
    <w:name w:val="FollowedHyperlink"/>
    <w:basedOn w:val="4"/>
    <w:uiPriority w:val="0"/>
    <w:rPr>
      <w:color w:val="5D5D5D"/>
      <w:u w:val="none"/>
    </w:rPr>
  </w:style>
  <w:style w:type="character" w:styleId="6">
    <w:name w:val="Hyperlink"/>
    <w:unhideWhenUsed/>
    <w:qFormat/>
    <w:uiPriority w:val="99"/>
    <w:rPr>
      <w:color w:val="0000FF"/>
      <w:u w:val="single"/>
    </w:rPr>
  </w:style>
  <w:style w:type="paragraph" w:styleId="7">
    <w:name w:val="List Paragraph"/>
    <w:basedOn w:val="1"/>
    <w:qFormat/>
    <w:uiPriority w:val="34"/>
    <w:pPr>
      <w:ind w:firstLine="420" w:firstLineChars="200"/>
    </w:pPr>
  </w:style>
  <w:style w:type="character" w:customStyle="1" w:styleId="8">
    <w:name w:val="apple-converted-space"/>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503</Words>
  <Characters>2870</Characters>
  <Lines>23</Lines>
  <Paragraphs>6</Paragraphs>
  <TotalTime>27</TotalTime>
  <ScaleCrop>false</ScaleCrop>
  <LinksUpToDate>false</LinksUpToDate>
  <CharactersWithSpaces>3367</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2018-11-01T09:13:00Z</dcterms:created>
  <dc:creator>胡豆瓣</dc:creator>
  <cp:lastModifiedBy>admin</cp:lastModifiedBy>
  <dcterms:modified xsi:type="dcterms:W3CDTF">2019-03-07T11:37:46Z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